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F7E0" w14:textId="367E622B" w:rsidR="00566B9A" w:rsidRDefault="00CA0C21" w:rsidP="00566B9A">
      <w:pPr>
        <w:pStyle w:val="Heading1"/>
        <w:rPr>
          <w:b/>
          <w:bCs/>
          <w:color w:val="70AD47" w:themeColor="accent6"/>
          <w:sz w:val="44"/>
          <w:szCs w:val="44"/>
          <w:lang w:val="en-NZ"/>
        </w:rPr>
      </w:pPr>
      <w:bookmarkStart w:id="0" w:name="_GoBack"/>
      <w:bookmarkEnd w:id="0"/>
      <w:r>
        <w:rPr>
          <w:b/>
          <w:bCs/>
          <w:color w:val="70AD47" w:themeColor="accent6"/>
          <w:sz w:val="44"/>
          <w:szCs w:val="44"/>
          <w:lang w:val="en-NZ"/>
        </w:rPr>
        <w:t xml:space="preserve">Template </w:t>
      </w:r>
      <w:r w:rsidR="00566B9A">
        <w:rPr>
          <w:b/>
          <w:bCs/>
          <w:color w:val="70AD47" w:themeColor="accent6"/>
          <w:sz w:val="44"/>
          <w:szCs w:val="44"/>
          <w:lang w:val="en-NZ"/>
        </w:rPr>
        <w:t>Context</w:t>
      </w:r>
    </w:p>
    <w:p w14:paraId="618FC24F" w14:textId="60AFBC6B" w:rsidR="00566B9A" w:rsidRDefault="00566B9A" w:rsidP="00566B9A">
      <w:pP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</w:pPr>
      <w:r w:rsidRPr="0064798B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The New Zealand Security Classification System Policy </w:t>
      </w:r>
      <w:r w:rsidR="00700A3A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states, </w:t>
      </w:r>
      <w:r w:rsidRPr="0064798B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>‘Agency heads must establish an organisational declassification policy and procedures in line with the Classification System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’.  </w:t>
      </w:r>
    </w:p>
    <w:p w14:paraId="6CD478B3" w14:textId="77777777" w:rsidR="00AD10A5" w:rsidRDefault="00566B9A" w:rsidP="00566B9A">
      <w:pP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This does not mean that agencies must have a separate policy for declassification, only that policy exists that addresses declassification.  </w:t>
      </w:r>
    </w:p>
    <w:p w14:paraId="46E82B98" w14:textId="3266C6AE" w:rsidR="00566B9A" w:rsidRPr="00566B9A" w:rsidRDefault="00AD10A5" w:rsidP="00566B9A">
      <w:pP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</w:pPr>
      <w:r>
        <w:rPr>
          <w:rFonts w:ascii="Open Sans" w:eastAsia="Times New Roman" w:hAnsi="Open Sans" w:cs="Open Sans"/>
          <w:b/>
          <w:bCs/>
          <w:color w:val="000000"/>
          <w:sz w:val="20"/>
          <w:szCs w:val="20"/>
          <w:lang w:val="en-NZ" w:eastAsia="zh-CN"/>
        </w:rPr>
        <w:t>Agencies can chose whether to have a stand-alone policy for declassification or to incorporate this content in to existing policies, e.g. their Information Management policy.</w:t>
      </w:r>
    </w:p>
    <w:p w14:paraId="23A1E40E" w14:textId="29CC3B73" w:rsidR="001B2138" w:rsidRDefault="001B2138" w:rsidP="001B2138">
      <w:pP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Some agencies have asked for guidance on how to develop a declassification policy.  </w:t>
      </w:r>
      <w:r w:rsidRPr="00AD10A5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The </w:t>
      </w:r>
      <w:r w:rsidRPr="001B2138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>Declassification Policy Template</w:t>
      </w:r>
      <w:r w:rsidRPr="00AD10A5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 is provided 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>primarily as a starting point for agencies considering establishing their own declassification policy</w:t>
      </w:r>
      <w:r w:rsidRPr="001B2138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 and need guidance.</w:t>
      </w:r>
    </w:p>
    <w:p w14:paraId="19E2B3D3" w14:textId="28043C2D" w:rsidR="001B2138" w:rsidRDefault="00AA5FC5" w:rsidP="001B2138">
      <w:pP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</w:pP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The template is not prescriptive and agencies should apply their own judgement about whether the content is </w:t>
      </w:r>
      <w:r w:rsidR="007A50ED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>useful to them</w:t>
      </w:r>
      <w:r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 xml:space="preserve"> or </w:t>
      </w:r>
      <w:r w:rsidR="007A50ED">
        <w:rPr>
          <w:rFonts w:ascii="Open Sans" w:eastAsia="Times New Roman" w:hAnsi="Open Sans" w:cs="Open Sans"/>
          <w:color w:val="000000"/>
          <w:sz w:val="20"/>
          <w:szCs w:val="20"/>
          <w:lang w:val="en-NZ" w:eastAsia="zh-CN"/>
        </w:rPr>
        <w:t>whether declassification requirements are already addressed in other policies.</w:t>
      </w:r>
    </w:p>
    <w:p w14:paraId="77E32F05" w14:textId="77777777" w:rsidR="00566B9A" w:rsidRPr="00566B9A" w:rsidRDefault="00566B9A" w:rsidP="00566B9A">
      <w:pPr>
        <w:rPr>
          <w:lang w:val="en-NZ"/>
        </w:rPr>
      </w:pPr>
    </w:p>
    <w:p w14:paraId="42005CF7" w14:textId="77777777" w:rsidR="00566B9A" w:rsidRDefault="00566B9A" w:rsidP="00A04B92">
      <w:pPr>
        <w:pStyle w:val="Heading1"/>
        <w:jc w:val="center"/>
        <w:rPr>
          <w:b/>
          <w:bCs/>
          <w:color w:val="70AD47" w:themeColor="accent6"/>
          <w:sz w:val="44"/>
          <w:szCs w:val="44"/>
          <w:lang w:val="en-NZ"/>
        </w:rPr>
      </w:pPr>
    </w:p>
    <w:p w14:paraId="1E2B0D3D" w14:textId="77777777" w:rsidR="00566B9A" w:rsidRDefault="00566B9A" w:rsidP="00A04B92">
      <w:pPr>
        <w:pStyle w:val="Heading1"/>
        <w:jc w:val="center"/>
        <w:rPr>
          <w:b/>
          <w:bCs/>
          <w:color w:val="70AD47" w:themeColor="accent6"/>
          <w:sz w:val="44"/>
          <w:szCs w:val="44"/>
          <w:lang w:val="en-NZ"/>
        </w:rPr>
      </w:pPr>
    </w:p>
    <w:p w14:paraId="211CC2B3" w14:textId="77777777" w:rsidR="00566B9A" w:rsidRDefault="00E131CB" w:rsidP="00566B9A">
      <w:pPr>
        <w:pStyle w:val="Heading1"/>
        <w:jc w:val="center"/>
        <w:rPr>
          <w:b/>
          <w:bCs/>
          <w:color w:val="70AD47" w:themeColor="accent6"/>
          <w:sz w:val="44"/>
          <w:szCs w:val="44"/>
          <w:lang w:val="en-NZ"/>
        </w:rPr>
      </w:pPr>
      <w:r>
        <w:br/>
      </w:r>
    </w:p>
    <w:p w14:paraId="520285F2" w14:textId="77777777" w:rsidR="00566B9A" w:rsidRDefault="00566B9A">
      <w:pPr>
        <w:rPr>
          <w:rFonts w:asciiTheme="majorHAnsi" w:eastAsiaTheme="majorEastAsia" w:hAnsiTheme="majorHAnsi" w:cstheme="majorBidi"/>
          <w:b/>
          <w:bCs/>
          <w:color w:val="70AD47" w:themeColor="accent6"/>
          <w:sz w:val="44"/>
          <w:szCs w:val="44"/>
          <w:lang w:val="en-NZ"/>
        </w:rPr>
      </w:pPr>
      <w:r>
        <w:rPr>
          <w:b/>
          <w:bCs/>
          <w:color w:val="70AD47" w:themeColor="accent6"/>
          <w:sz w:val="44"/>
          <w:szCs w:val="44"/>
          <w:lang w:val="en-NZ"/>
        </w:rPr>
        <w:br w:type="page"/>
      </w:r>
    </w:p>
    <w:p w14:paraId="12413D59" w14:textId="5F9A2B8E" w:rsidR="352C71E6" w:rsidRPr="00566B9A" w:rsidRDefault="00E131CB" w:rsidP="00566B9A">
      <w:pPr>
        <w:pStyle w:val="Heading1"/>
        <w:jc w:val="center"/>
        <w:rPr>
          <w:b/>
          <w:bCs/>
          <w:color w:val="70AD47" w:themeColor="accent6"/>
          <w:sz w:val="44"/>
          <w:szCs w:val="44"/>
          <w:lang w:val="en-NZ"/>
        </w:rPr>
      </w:pPr>
      <w:r w:rsidRPr="352C71E6">
        <w:rPr>
          <w:b/>
          <w:bCs/>
          <w:color w:val="70AD47" w:themeColor="accent6"/>
          <w:sz w:val="44"/>
          <w:szCs w:val="44"/>
          <w:lang w:val="en-NZ"/>
        </w:rPr>
        <w:lastRenderedPageBreak/>
        <w:t>D</w:t>
      </w:r>
      <w:r w:rsidR="15032C87" w:rsidRPr="352C71E6">
        <w:rPr>
          <w:b/>
          <w:bCs/>
          <w:color w:val="70AD47" w:themeColor="accent6"/>
          <w:sz w:val="44"/>
          <w:szCs w:val="44"/>
          <w:lang w:val="en-NZ"/>
        </w:rPr>
        <w:t xml:space="preserve">eclassification </w:t>
      </w:r>
      <w:r w:rsidRPr="352C71E6">
        <w:rPr>
          <w:b/>
          <w:bCs/>
          <w:color w:val="70AD47" w:themeColor="accent6"/>
          <w:sz w:val="44"/>
          <w:szCs w:val="44"/>
          <w:lang w:val="en-NZ"/>
        </w:rPr>
        <w:t>Policy</w:t>
      </w:r>
      <w:r w:rsidR="00C507CD">
        <w:rPr>
          <w:b/>
          <w:bCs/>
          <w:color w:val="70AD47" w:themeColor="accent6"/>
          <w:sz w:val="44"/>
          <w:szCs w:val="44"/>
          <w:lang w:val="en-NZ"/>
        </w:rPr>
        <w:t xml:space="preserve"> </w:t>
      </w:r>
      <w:r w:rsidR="00566B9A">
        <w:rPr>
          <w:b/>
          <w:bCs/>
          <w:color w:val="70AD47" w:themeColor="accent6"/>
          <w:sz w:val="44"/>
          <w:szCs w:val="44"/>
          <w:lang w:val="en-NZ"/>
        </w:rPr>
        <w:t>Template</w:t>
      </w:r>
    </w:p>
    <w:p w14:paraId="57B0239B" w14:textId="4E70DF12" w:rsidR="0093423F" w:rsidRPr="00B140FD" w:rsidRDefault="00726423" w:rsidP="0085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lang w:val="en-NZ"/>
        </w:rPr>
      </w:pPr>
      <w:r w:rsidRPr="00B140FD">
        <w:rPr>
          <w:lang w:val="en-NZ"/>
        </w:rPr>
        <w:t xml:space="preserve">Words in black font </w:t>
      </w:r>
      <w:r w:rsidR="00DB0BE4" w:rsidRPr="00B140FD">
        <w:rPr>
          <w:lang w:val="en-NZ"/>
        </w:rPr>
        <w:t xml:space="preserve">are suggested </w:t>
      </w:r>
      <w:r w:rsidR="00D04A11" w:rsidRPr="00B140FD">
        <w:rPr>
          <w:lang w:val="en-NZ"/>
        </w:rPr>
        <w:t>policy content</w:t>
      </w:r>
      <w:r w:rsidR="00A91903" w:rsidRPr="00B140FD">
        <w:rPr>
          <w:lang w:val="en-NZ"/>
        </w:rPr>
        <w:t xml:space="preserve">. </w:t>
      </w:r>
    </w:p>
    <w:p w14:paraId="0ACB4DEA" w14:textId="3D621FB9" w:rsidR="00A91903" w:rsidRPr="00B140FD" w:rsidRDefault="00A91903" w:rsidP="00851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rPr>
          <w:i/>
          <w:iCs/>
          <w:color w:val="FF0000"/>
          <w:lang w:val="en-NZ"/>
        </w:rPr>
      </w:pPr>
      <w:r w:rsidRPr="00B140FD">
        <w:rPr>
          <w:i/>
          <w:iCs/>
          <w:color w:val="FF0000"/>
          <w:lang w:val="en-NZ"/>
        </w:rPr>
        <w:t xml:space="preserve">Words in red italics </w:t>
      </w:r>
      <w:r w:rsidR="0087120E" w:rsidRPr="00B140FD">
        <w:rPr>
          <w:i/>
          <w:iCs/>
          <w:color w:val="FF0000"/>
          <w:lang w:val="en-NZ"/>
        </w:rPr>
        <w:t xml:space="preserve">highlight </w:t>
      </w:r>
      <w:r w:rsidR="007C7BBE" w:rsidRPr="00B140FD">
        <w:rPr>
          <w:i/>
          <w:iCs/>
          <w:color w:val="FF0000"/>
          <w:lang w:val="en-NZ"/>
        </w:rPr>
        <w:t>areas where agencies will need to contextualise the template with their own information.</w:t>
      </w:r>
    </w:p>
    <w:p w14:paraId="7256854D" w14:textId="2BE00CE1" w:rsidR="0093423F" w:rsidRPr="00B140FD" w:rsidRDefault="007320B6" w:rsidP="0085182A">
      <w:pPr>
        <w:pStyle w:val="Heading2"/>
        <w:rPr>
          <w:lang w:val="en-NZ"/>
        </w:rPr>
      </w:pPr>
      <w:bookmarkStart w:id="1" w:name="_Toc93400872"/>
      <w:r w:rsidRPr="00B140FD">
        <w:rPr>
          <w:lang w:val="en-NZ"/>
        </w:rPr>
        <w:t>Introduction</w:t>
      </w:r>
      <w:bookmarkEnd w:id="1"/>
    </w:p>
    <w:p w14:paraId="32005378" w14:textId="43A16008" w:rsidR="007320B6" w:rsidRPr="00B140FD" w:rsidRDefault="009E3EB5" w:rsidP="007320B6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 xml:space="preserve">This policy outlines the statutory and business requirements and the framework for </w:t>
      </w:r>
      <w:r w:rsidR="00C50C14">
        <w:rPr>
          <w:lang w:val="en-NZ"/>
        </w:rPr>
        <w:t>declassifying the records of</w:t>
      </w:r>
      <w:r w:rsidR="00DE2908" w:rsidRPr="00B140FD">
        <w:rPr>
          <w:lang w:val="en-NZ"/>
        </w:rPr>
        <w:t xml:space="preserve"> </w:t>
      </w:r>
      <w:r w:rsidR="0067159E" w:rsidRPr="00B140FD">
        <w:rPr>
          <w:lang w:val="en-NZ"/>
        </w:rPr>
        <w:t>&lt;&lt;</w:t>
      </w:r>
      <w:r w:rsidR="00DE2908" w:rsidRPr="00B140FD">
        <w:rPr>
          <w:lang w:val="en-NZ"/>
        </w:rPr>
        <w:t>ORGANISATION</w:t>
      </w:r>
      <w:r w:rsidR="0067159E" w:rsidRPr="00B140FD">
        <w:rPr>
          <w:lang w:val="en-NZ"/>
        </w:rPr>
        <w:t>&gt;&gt;</w:t>
      </w:r>
      <w:r w:rsidR="00DE2908" w:rsidRPr="00B140FD">
        <w:rPr>
          <w:lang w:val="en-NZ"/>
        </w:rPr>
        <w:t>.</w:t>
      </w:r>
    </w:p>
    <w:p w14:paraId="46201417" w14:textId="56130195" w:rsidR="00DE2908" w:rsidRPr="00B140FD" w:rsidRDefault="00DE2908" w:rsidP="0085182A">
      <w:pPr>
        <w:pStyle w:val="Heading2"/>
        <w:rPr>
          <w:lang w:val="en-NZ"/>
        </w:rPr>
      </w:pPr>
      <w:bookmarkStart w:id="2" w:name="_Toc93400873"/>
      <w:r w:rsidRPr="00B140FD">
        <w:rPr>
          <w:lang w:val="en-NZ"/>
        </w:rPr>
        <w:t>Scope</w:t>
      </w:r>
      <w:bookmarkEnd w:id="2"/>
    </w:p>
    <w:p w14:paraId="0C69D118" w14:textId="25A3D477" w:rsidR="00DE2908" w:rsidRDefault="00DE2908" w:rsidP="007320B6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 xml:space="preserve">This policy applies to all </w:t>
      </w:r>
      <w:r w:rsidR="0067159E" w:rsidRPr="00B140FD">
        <w:rPr>
          <w:lang w:val="en-NZ"/>
        </w:rPr>
        <w:t>&lt;&lt;</w:t>
      </w:r>
      <w:r w:rsidR="00DD5F06" w:rsidRPr="00B140FD">
        <w:rPr>
          <w:lang w:val="en-NZ"/>
        </w:rPr>
        <w:t>ORGANISATION</w:t>
      </w:r>
      <w:r w:rsidR="0067159E" w:rsidRPr="00B140FD">
        <w:rPr>
          <w:lang w:val="en-NZ"/>
        </w:rPr>
        <w:t>&gt;&gt;</w:t>
      </w:r>
      <w:r w:rsidR="00DD5F06" w:rsidRPr="00B140FD">
        <w:rPr>
          <w:lang w:val="en-NZ"/>
        </w:rPr>
        <w:t xml:space="preserve"> employees</w:t>
      </w:r>
      <w:r w:rsidR="00315B7E" w:rsidRPr="00B140FD">
        <w:rPr>
          <w:lang w:val="en-NZ"/>
        </w:rPr>
        <w:t>, suppliers</w:t>
      </w:r>
      <w:r w:rsidR="00DD5F06" w:rsidRPr="00B140FD">
        <w:rPr>
          <w:lang w:val="en-NZ"/>
        </w:rPr>
        <w:t xml:space="preserve"> and contractors who are involved in </w:t>
      </w:r>
      <w:r w:rsidR="000F2432" w:rsidRPr="00B140FD">
        <w:rPr>
          <w:lang w:val="en-NZ"/>
        </w:rPr>
        <w:t>managing or handling the</w:t>
      </w:r>
      <w:r w:rsidR="002C3FCB" w:rsidRPr="00B140FD">
        <w:rPr>
          <w:lang w:val="en-NZ"/>
        </w:rPr>
        <w:t xml:space="preserve"> </w:t>
      </w:r>
      <w:r w:rsidR="0013323E">
        <w:rPr>
          <w:lang w:val="en-NZ"/>
        </w:rPr>
        <w:t>records</w:t>
      </w:r>
      <w:r w:rsidR="002C3FCB" w:rsidRPr="00B140FD">
        <w:rPr>
          <w:lang w:val="en-NZ"/>
        </w:rPr>
        <w:t xml:space="preserve"> of &lt;&lt;</w:t>
      </w:r>
      <w:r w:rsidR="000F2432" w:rsidRPr="00B140FD">
        <w:rPr>
          <w:lang w:val="en-NZ"/>
        </w:rPr>
        <w:t>ORGANISATION</w:t>
      </w:r>
      <w:r w:rsidR="002C3FCB" w:rsidRPr="00B140FD">
        <w:rPr>
          <w:lang w:val="en-NZ"/>
        </w:rPr>
        <w:t>&gt;&gt;</w:t>
      </w:r>
      <w:r w:rsidR="000F2432" w:rsidRPr="00B140FD">
        <w:rPr>
          <w:lang w:val="en-NZ"/>
        </w:rPr>
        <w:t>.</w:t>
      </w:r>
    </w:p>
    <w:p w14:paraId="4DC09C42" w14:textId="615E0E59" w:rsidR="003A2A53" w:rsidRPr="003A2A53" w:rsidRDefault="003A2A53" w:rsidP="003A2A53">
      <w:pPr>
        <w:pStyle w:val="ListParagraph"/>
        <w:numPr>
          <w:ilvl w:val="0"/>
          <w:numId w:val="1"/>
        </w:numPr>
        <w:rPr>
          <w:lang w:val="en-NZ"/>
        </w:rPr>
      </w:pPr>
      <w:r w:rsidRPr="003A2A53">
        <w:rPr>
          <w:lang w:val="en-NZ"/>
        </w:rPr>
        <w:t xml:space="preserve">This policy refers specifically to </w:t>
      </w:r>
      <w:r w:rsidR="001818A2">
        <w:rPr>
          <w:lang w:val="en-NZ"/>
        </w:rPr>
        <w:t xml:space="preserve">classified </w:t>
      </w:r>
      <w:r>
        <w:rPr>
          <w:lang w:val="en-NZ"/>
        </w:rPr>
        <w:t xml:space="preserve">historical </w:t>
      </w:r>
      <w:r w:rsidRPr="00FC6D93">
        <w:rPr>
          <w:lang w:val="en-NZ"/>
        </w:rPr>
        <w:t>records</w:t>
      </w:r>
      <w:r w:rsidR="00620AB1">
        <w:rPr>
          <w:lang w:val="en-NZ"/>
        </w:rPr>
        <w:t xml:space="preserve"> which are</w:t>
      </w:r>
      <w:r w:rsidR="001818A2">
        <w:rPr>
          <w:lang w:val="en-NZ"/>
        </w:rPr>
        <w:t xml:space="preserve"> held by the organisation and are</w:t>
      </w:r>
      <w:r w:rsidR="00620AB1">
        <w:rPr>
          <w:lang w:val="en-NZ"/>
        </w:rPr>
        <w:t xml:space="preserve"> recognised as having public </w:t>
      </w:r>
      <w:r w:rsidR="008831C9">
        <w:rPr>
          <w:lang w:val="en-NZ"/>
        </w:rPr>
        <w:t>value.</w:t>
      </w:r>
    </w:p>
    <w:p w14:paraId="1EAA69E6" w14:textId="49F97681" w:rsidR="00D5539D" w:rsidRPr="00B140FD" w:rsidRDefault="006C298A" w:rsidP="0085182A">
      <w:pPr>
        <w:pStyle w:val="Heading2"/>
        <w:rPr>
          <w:lang w:val="en-NZ"/>
        </w:rPr>
      </w:pPr>
      <w:bookmarkStart w:id="3" w:name="_Toc93400874"/>
      <w:r w:rsidRPr="00B140FD">
        <w:rPr>
          <w:lang w:val="en-NZ"/>
        </w:rPr>
        <w:t>Purpose</w:t>
      </w:r>
      <w:bookmarkEnd w:id="3"/>
    </w:p>
    <w:p w14:paraId="3909CB65" w14:textId="0C4D637B" w:rsidR="00D5539D" w:rsidRDefault="00D5539D" w:rsidP="00B11FAE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 xml:space="preserve">This policy </w:t>
      </w:r>
      <w:r w:rsidR="00DF6828" w:rsidRPr="00B140FD">
        <w:rPr>
          <w:lang w:val="en-NZ"/>
        </w:rPr>
        <w:t xml:space="preserve">outlines </w:t>
      </w:r>
      <w:r w:rsidR="006771A8" w:rsidRPr="00B140FD">
        <w:rPr>
          <w:lang w:val="en-NZ"/>
        </w:rPr>
        <w:t>&lt;&lt;</w:t>
      </w:r>
      <w:r w:rsidR="00DF6828" w:rsidRPr="00B140FD">
        <w:rPr>
          <w:lang w:val="en-NZ"/>
        </w:rPr>
        <w:t>ORGANISATION</w:t>
      </w:r>
      <w:r w:rsidR="00835BF0">
        <w:rPr>
          <w:lang w:val="en-NZ"/>
        </w:rPr>
        <w:t>’s</w:t>
      </w:r>
      <w:r w:rsidR="006771A8" w:rsidRPr="00B140FD">
        <w:rPr>
          <w:lang w:val="en-NZ"/>
        </w:rPr>
        <w:t>&gt;&gt;</w:t>
      </w:r>
      <w:r w:rsidR="00DF6828" w:rsidRPr="00B140FD">
        <w:rPr>
          <w:lang w:val="en-NZ"/>
        </w:rPr>
        <w:t xml:space="preserve"> </w:t>
      </w:r>
      <w:r w:rsidR="00835BF0">
        <w:rPr>
          <w:lang w:val="en-NZ"/>
        </w:rPr>
        <w:t>approach to declassification.</w:t>
      </w:r>
    </w:p>
    <w:p w14:paraId="3E19B69E" w14:textId="5B8CCAA0" w:rsidR="009277EB" w:rsidRPr="009277EB" w:rsidRDefault="009277EB" w:rsidP="009277EB">
      <w:pPr>
        <w:pStyle w:val="ListParagraph"/>
        <w:numPr>
          <w:ilvl w:val="0"/>
          <w:numId w:val="1"/>
        </w:numPr>
        <w:rPr>
          <w:lang w:val="en-NZ"/>
        </w:rPr>
      </w:pPr>
      <w:r>
        <w:rPr>
          <w:lang w:val="en-NZ"/>
        </w:rPr>
        <w:t>For the purposes of this policy, declassification is described as the process for assessing whether protected information can be released.  This process is common across a range of activities, from responding to Privacy Act and Official Information Act requests to the proactive declassification of classified records.</w:t>
      </w:r>
    </w:p>
    <w:p w14:paraId="39587318" w14:textId="4695840E" w:rsidR="00D5539D" w:rsidRPr="00B140FD" w:rsidRDefault="005F0F0B" w:rsidP="0085182A">
      <w:pPr>
        <w:pStyle w:val="Heading2"/>
        <w:rPr>
          <w:lang w:val="en-NZ"/>
        </w:rPr>
      </w:pPr>
      <w:bookmarkStart w:id="4" w:name="_Toc93400875"/>
      <w:r w:rsidRPr="00B140FD">
        <w:rPr>
          <w:lang w:val="en-NZ"/>
        </w:rPr>
        <w:t>Definition</w:t>
      </w:r>
      <w:r w:rsidR="0010573D" w:rsidRPr="00B140FD">
        <w:rPr>
          <w:lang w:val="en-NZ"/>
        </w:rPr>
        <w:t>s</w:t>
      </w:r>
      <w:bookmarkEnd w:id="4"/>
    </w:p>
    <w:p w14:paraId="119979D8" w14:textId="057C6A5D" w:rsidR="00954553" w:rsidRPr="00FC6D93" w:rsidRDefault="00954553" w:rsidP="002A6527">
      <w:pPr>
        <w:pStyle w:val="ListParagraph"/>
        <w:numPr>
          <w:ilvl w:val="0"/>
          <w:numId w:val="1"/>
        </w:numPr>
        <w:rPr>
          <w:lang w:val="en-NZ"/>
        </w:rPr>
      </w:pPr>
      <w:r w:rsidRPr="00FC6D93">
        <w:rPr>
          <w:b/>
          <w:bCs/>
          <w:lang w:val="en-NZ"/>
        </w:rPr>
        <w:t>Declassification</w:t>
      </w:r>
      <w:r w:rsidRPr="00FC6D93">
        <w:rPr>
          <w:lang w:val="en-NZ"/>
        </w:rPr>
        <w:t xml:space="preserve"> is the process of reviewing</w:t>
      </w:r>
      <w:r w:rsidR="00A31371" w:rsidRPr="00FC6D93">
        <w:rPr>
          <w:lang w:val="en-NZ"/>
        </w:rPr>
        <w:t xml:space="preserve"> the protective marking on information with the objective of removing </w:t>
      </w:r>
      <w:r w:rsidR="00BB733C">
        <w:rPr>
          <w:lang w:val="en-NZ"/>
        </w:rPr>
        <w:t xml:space="preserve">or reducing </w:t>
      </w:r>
      <w:r w:rsidR="00A31371" w:rsidRPr="00FC6D93">
        <w:rPr>
          <w:lang w:val="en-NZ"/>
        </w:rPr>
        <w:t>classifications to facilitate the public release of information.</w:t>
      </w:r>
    </w:p>
    <w:p w14:paraId="604AA454" w14:textId="52A93039" w:rsidR="00A31371" w:rsidRPr="00FC6D93" w:rsidRDefault="00A31371" w:rsidP="002A6527">
      <w:pPr>
        <w:pStyle w:val="ListParagraph"/>
        <w:numPr>
          <w:ilvl w:val="0"/>
          <w:numId w:val="1"/>
        </w:numPr>
        <w:rPr>
          <w:lang w:val="en-NZ"/>
        </w:rPr>
      </w:pPr>
      <w:r w:rsidRPr="00FC6D93">
        <w:rPr>
          <w:b/>
          <w:bCs/>
          <w:lang w:val="en-NZ"/>
        </w:rPr>
        <w:t>Restriction</w:t>
      </w:r>
      <w:r w:rsidR="001F1F8C" w:rsidRPr="00FC6D93">
        <w:rPr>
          <w:lang w:val="en-NZ"/>
        </w:rPr>
        <w:t xml:space="preserve"> </w:t>
      </w:r>
      <w:r w:rsidR="001F1F8C" w:rsidRPr="00FC6D93">
        <w:rPr>
          <w:b/>
          <w:bCs/>
          <w:lang w:val="en-NZ"/>
        </w:rPr>
        <w:t>period</w:t>
      </w:r>
      <w:r w:rsidR="001F1F8C" w:rsidRPr="00FC6D93">
        <w:rPr>
          <w:lang w:val="en-NZ"/>
        </w:rPr>
        <w:t xml:space="preserve"> i</w:t>
      </w:r>
      <w:r w:rsidRPr="00FC6D93">
        <w:rPr>
          <w:lang w:val="en-NZ"/>
        </w:rPr>
        <w:t xml:space="preserve">s a specified period of time during which </w:t>
      </w:r>
      <w:r w:rsidR="00BB733C">
        <w:rPr>
          <w:lang w:val="en-NZ"/>
        </w:rPr>
        <w:t>records</w:t>
      </w:r>
      <w:r w:rsidRPr="00FC6D93">
        <w:rPr>
          <w:lang w:val="en-NZ"/>
        </w:rPr>
        <w:t xml:space="preserve"> will not be publicly released under the </w:t>
      </w:r>
      <w:r w:rsidR="00BB733C">
        <w:rPr>
          <w:lang w:val="en-NZ"/>
        </w:rPr>
        <w:t>Records</w:t>
      </w:r>
      <w:r w:rsidR="00AB79FA" w:rsidRPr="00FC6D93">
        <w:rPr>
          <w:lang w:val="en-NZ"/>
        </w:rPr>
        <w:t xml:space="preserve"> Declassification Policy</w:t>
      </w:r>
      <w:r w:rsidR="00BF012D" w:rsidRPr="00FC6D93">
        <w:rPr>
          <w:lang w:val="en-NZ"/>
        </w:rPr>
        <w:t>.</w:t>
      </w:r>
    </w:p>
    <w:p w14:paraId="0114F8ED" w14:textId="32441B89" w:rsidR="00BF012D" w:rsidRPr="00B140FD" w:rsidRDefault="003F7A86" w:rsidP="002A6527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b/>
          <w:bCs/>
          <w:lang w:val="en-NZ"/>
        </w:rPr>
        <w:t>S</w:t>
      </w:r>
      <w:r w:rsidR="00BF012D" w:rsidRPr="00B140FD">
        <w:rPr>
          <w:b/>
          <w:bCs/>
          <w:lang w:val="en-NZ"/>
        </w:rPr>
        <w:t>ystematic declassification</w:t>
      </w:r>
      <w:r w:rsidR="00BF012D" w:rsidRPr="00B140FD">
        <w:rPr>
          <w:lang w:val="en-NZ"/>
        </w:rPr>
        <w:t xml:space="preserve"> refers to proactive and </w:t>
      </w:r>
      <w:r w:rsidR="004C70BC" w:rsidRPr="00B140FD">
        <w:rPr>
          <w:lang w:val="en-NZ"/>
        </w:rPr>
        <w:t xml:space="preserve">prioritised </w:t>
      </w:r>
      <w:r w:rsidR="00BF012D" w:rsidRPr="00B140FD">
        <w:rPr>
          <w:lang w:val="en-NZ"/>
        </w:rPr>
        <w:t>declassification of groups of related records based on such criteria as their age, topic, or level of historical interest.</w:t>
      </w:r>
    </w:p>
    <w:p w14:paraId="0099ED90" w14:textId="756F14F9" w:rsidR="002A6527" w:rsidRPr="00B140FD" w:rsidRDefault="002A6527" w:rsidP="0085182A">
      <w:pPr>
        <w:pStyle w:val="Heading2"/>
        <w:rPr>
          <w:lang w:val="en-NZ"/>
        </w:rPr>
      </w:pPr>
      <w:bookmarkStart w:id="5" w:name="_Toc93400876"/>
      <w:r w:rsidRPr="00B140FD">
        <w:rPr>
          <w:lang w:val="en-NZ"/>
        </w:rPr>
        <w:t>Intent statement</w:t>
      </w:r>
      <w:bookmarkEnd w:id="5"/>
    </w:p>
    <w:p w14:paraId="24874BF8" w14:textId="14511173" w:rsidR="000B69DE" w:rsidRPr="009277EB" w:rsidRDefault="000B69DE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 xml:space="preserve">&lt;&lt;ORGANISATION&gt;&gt; fully supports the importance of proactive declassification in providing citizens with access to publicly held information.  </w:t>
      </w:r>
    </w:p>
    <w:p w14:paraId="0DB2C38B" w14:textId="78E5D773" w:rsidR="00BF012D" w:rsidRPr="00B140FD" w:rsidRDefault="002A6527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 xml:space="preserve">The </w:t>
      </w:r>
      <w:r w:rsidR="003F7A86" w:rsidRPr="00B140FD">
        <w:rPr>
          <w:lang w:val="en-NZ"/>
        </w:rPr>
        <w:t xml:space="preserve">&lt;&lt;ORGANISATION&gt;&gt; will </w:t>
      </w:r>
      <w:r w:rsidRPr="00B140FD">
        <w:rPr>
          <w:lang w:val="en-NZ"/>
        </w:rPr>
        <w:t xml:space="preserve">with rare exceptions, </w:t>
      </w:r>
      <w:r w:rsidR="003F7A86" w:rsidRPr="00B140FD">
        <w:rPr>
          <w:lang w:val="en-NZ"/>
        </w:rPr>
        <w:t>declassify its</w:t>
      </w:r>
      <w:r w:rsidRPr="00B140FD">
        <w:rPr>
          <w:lang w:val="en-NZ"/>
        </w:rPr>
        <w:t xml:space="preserve"> archive over</w:t>
      </w:r>
      <w:r w:rsidR="003F7A86" w:rsidRPr="00B140FD">
        <w:rPr>
          <w:lang w:val="en-NZ"/>
        </w:rPr>
        <w:t xml:space="preserve"> t</w:t>
      </w:r>
      <w:r w:rsidRPr="00B140FD">
        <w:rPr>
          <w:lang w:val="en-NZ"/>
        </w:rPr>
        <w:t>ime with the intention of making as many records publicly accessible as possible while maintaining appropriate protection for specific classes of records. These are outlined in the declassification criteria below.</w:t>
      </w:r>
    </w:p>
    <w:p w14:paraId="495F8BE1" w14:textId="53FD88D8" w:rsidR="007C7BBE" w:rsidRPr="00B140FD" w:rsidRDefault="007C7BBE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en-NZ"/>
        </w:rPr>
      </w:pPr>
      <w:bookmarkStart w:id="6" w:name="_Toc93400877"/>
      <w:r w:rsidRPr="00B140FD">
        <w:rPr>
          <w:lang w:val="en-NZ"/>
        </w:rPr>
        <w:br w:type="page"/>
      </w:r>
    </w:p>
    <w:bookmarkEnd w:id="6"/>
    <w:p w14:paraId="329B9E13" w14:textId="5315B4FA" w:rsidR="00DC6F1B" w:rsidRDefault="000761D7" w:rsidP="0085182A">
      <w:pPr>
        <w:pStyle w:val="Heading2"/>
        <w:rPr>
          <w:lang w:val="en-NZ"/>
        </w:rPr>
      </w:pPr>
      <w:r w:rsidRPr="00B140FD">
        <w:rPr>
          <w:lang w:val="en-NZ"/>
        </w:rPr>
        <w:lastRenderedPageBreak/>
        <w:t>Principles</w:t>
      </w:r>
    </w:p>
    <w:p w14:paraId="04E1EA8D" w14:textId="0C790717" w:rsidR="000761D7" w:rsidRPr="00B140FD" w:rsidRDefault="0082491C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7F996584">
        <w:rPr>
          <w:lang w:val="en-NZ"/>
        </w:rPr>
        <w:t>T</w:t>
      </w:r>
      <w:r w:rsidR="000761D7" w:rsidRPr="7F996584">
        <w:rPr>
          <w:lang w:val="en-NZ"/>
        </w:rPr>
        <w:t xml:space="preserve">he </w:t>
      </w:r>
      <w:r w:rsidR="004B27C5" w:rsidRPr="7F996584">
        <w:rPr>
          <w:lang w:val="en-NZ"/>
        </w:rPr>
        <w:t xml:space="preserve">&lt;&lt;ORGANISATION&gt;&gt; </w:t>
      </w:r>
      <w:r w:rsidR="00D5749E" w:rsidRPr="7F996584">
        <w:rPr>
          <w:lang w:val="en-NZ"/>
        </w:rPr>
        <w:t>will adhere</w:t>
      </w:r>
      <w:r w:rsidR="000761D7" w:rsidRPr="7F996584">
        <w:rPr>
          <w:lang w:val="en-NZ"/>
        </w:rPr>
        <w:t xml:space="preserve"> to the following </w:t>
      </w:r>
      <w:r w:rsidR="00D02943">
        <w:rPr>
          <w:lang w:val="en-NZ"/>
        </w:rPr>
        <w:t xml:space="preserve">policy </w:t>
      </w:r>
      <w:r w:rsidR="000761D7" w:rsidRPr="7F996584">
        <w:rPr>
          <w:lang w:val="en-NZ"/>
        </w:rPr>
        <w:t xml:space="preserve">principles </w:t>
      </w:r>
      <w:r w:rsidR="00D02943">
        <w:rPr>
          <w:lang w:val="en-NZ"/>
        </w:rPr>
        <w:t>to support the</w:t>
      </w:r>
      <w:r w:rsidR="000761D7" w:rsidRPr="7F996584">
        <w:rPr>
          <w:lang w:val="en-NZ"/>
        </w:rPr>
        <w:t xml:space="preserve"> systematic declassification of its </w:t>
      </w:r>
      <w:r w:rsidR="0013323E">
        <w:rPr>
          <w:lang w:val="en-NZ"/>
        </w:rPr>
        <w:t>records</w:t>
      </w:r>
      <w:r w:rsidR="000761D7" w:rsidRPr="7F996584">
        <w:rPr>
          <w:lang w:val="en-NZ"/>
        </w:rPr>
        <w:t>.</w:t>
      </w:r>
    </w:p>
    <w:p w14:paraId="0A7106DA" w14:textId="6E532C68" w:rsidR="000761D7" w:rsidRPr="00B140FD" w:rsidRDefault="00D02943" w:rsidP="006E271D">
      <w:pPr>
        <w:ind w:left="720"/>
        <w:rPr>
          <w:lang w:val="en-NZ"/>
        </w:rPr>
      </w:pPr>
      <w:r>
        <w:rPr>
          <w:b/>
          <w:bCs/>
          <w:lang w:val="en-NZ"/>
        </w:rPr>
        <w:t>Policy p</w:t>
      </w:r>
      <w:r w:rsidR="004B27C5" w:rsidRPr="7F996584">
        <w:rPr>
          <w:b/>
          <w:bCs/>
          <w:lang w:val="en-NZ"/>
        </w:rPr>
        <w:t>rinciple 1</w:t>
      </w:r>
      <w:r w:rsidR="00230B9D" w:rsidRPr="7F996584">
        <w:rPr>
          <w:b/>
          <w:bCs/>
          <w:lang w:val="en-NZ"/>
        </w:rPr>
        <w:t>:</w:t>
      </w:r>
      <w:r w:rsidR="00230B9D" w:rsidRPr="7F996584">
        <w:rPr>
          <w:lang w:val="en-NZ"/>
        </w:rPr>
        <w:t xml:space="preserve"> </w:t>
      </w:r>
      <w:r w:rsidR="00C63AE0" w:rsidRPr="7F996584">
        <w:rPr>
          <w:lang w:val="en-NZ"/>
        </w:rPr>
        <w:t>declassification aims to meet</w:t>
      </w:r>
      <w:r w:rsidR="00230B9D" w:rsidRPr="7F996584">
        <w:rPr>
          <w:lang w:val="en-NZ"/>
        </w:rPr>
        <w:t xml:space="preserve"> government and community expectations that the organization will be transparent and accountable for its previous activities while maintaining justifiable protections </w:t>
      </w:r>
      <w:r w:rsidR="007B5DA5" w:rsidRPr="7F996584">
        <w:rPr>
          <w:lang w:val="en-NZ"/>
        </w:rPr>
        <w:t>for specific</w:t>
      </w:r>
      <w:r w:rsidR="00230B9D" w:rsidRPr="7F996584">
        <w:rPr>
          <w:lang w:val="en-NZ"/>
        </w:rPr>
        <w:t xml:space="preserve"> classes of records</w:t>
      </w:r>
      <w:r w:rsidR="007B5DA5" w:rsidRPr="7F996584">
        <w:rPr>
          <w:lang w:val="en-NZ"/>
        </w:rPr>
        <w:t xml:space="preserve"> (see declassification criteria below)</w:t>
      </w:r>
      <w:r w:rsidR="00466E96" w:rsidRPr="7F996584">
        <w:rPr>
          <w:lang w:val="en-NZ"/>
        </w:rPr>
        <w:t>.</w:t>
      </w:r>
    </w:p>
    <w:p w14:paraId="769BFDFF" w14:textId="4D1F4C42" w:rsidR="007F0193" w:rsidRPr="00B140FD" w:rsidRDefault="00D02943" w:rsidP="006E271D">
      <w:pPr>
        <w:ind w:left="720"/>
        <w:rPr>
          <w:lang w:val="en-NZ"/>
        </w:rPr>
      </w:pPr>
      <w:r>
        <w:rPr>
          <w:b/>
          <w:bCs/>
          <w:lang w:val="en-NZ"/>
        </w:rPr>
        <w:t>Policy p</w:t>
      </w:r>
      <w:r w:rsidRPr="7F996584">
        <w:rPr>
          <w:b/>
          <w:bCs/>
          <w:lang w:val="en-NZ"/>
        </w:rPr>
        <w:t xml:space="preserve">rinciple </w:t>
      </w:r>
      <w:r w:rsidR="00BB0252" w:rsidRPr="00B140FD">
        <w:rPr>
          <w:b/>
          <w:bCs/>
          <w:lang w:val="en-NZ"/>
        </w:rPr>
        <w:t>2</w:t>
      </w:r>
      <w:r w:rsidR="007B5DA5" w:rsidRPr="00B140FD">
        <w:rPr>
          <w:b/>
          <w:bCs/>
          <w:lang w:val="en-NZ"/>
        </w:rPr>
        <w:t>:</w:t>
      </w:r>
      <w:r w:rsidR="007B5DA5" w:rsidRPr="00B140FD">
        <w:rPr>
          <w:lang w:val="en-NZ"/>
        </w:rPr>
        <w:t xml:space="preserve"> </w:t>
      </w:r>
      <w:r w:rsidR="007F0193" w:rsidRPr="00B140FD">
        <w:rPr>
          <w:lang w:val="en-NZ"/>
        </w:rPr>
        <w:t xml:space="preserve">all </w:t>
      </w:r>
      <w:r w:rsidR="0013323E">
        <w:rPr>
          <w:lang w:val="en-NZ"/>
        </w:rPr>
        <w:t>records</w:t>
      </w:r>
      <w:r w:rsidR="007F0193" w:rsidRPr="00B140FD">
        <w:rPr>
          <w:lang w:val="en-NZ"/>
        </w:rPr>
        <w:t xml:space="preserve"> will undergo a declassification process prior to public release</w:t>
      </w:r>
      <w:r w:rsidR="00466E96" w:rsidRPr="00B140FD">
        <w:rPr>
          <w:lang w:val="en-NZ"/>
        </w:rPr>
        <w:t>.</w:t>
      </w:r>
    </w:p>
    <w:p w14:paraId="69CB6510" w14:textId="0FB66319" w:rsidR="007B5DA5" w:rsidRPr="00B140FD" w:rsidRDefault="00D02943" w:rsidP="006E271D">
      <w:pPr>
        <w:ind w:left="720"/>
        <w:rPr>
          <w:lang w:val="en-NZ"/>
        </w:rPr>
      </w:pPr>
      <w:r w:rsidRPr="00F81062">
        <w:rPr>
          <w:b/>
          <w:bCs/>
          <w:lang w:val="en-NZ"/>
        </w:rPr>
        <w:t xml:space="preserve">Policy principle </w:t>
      </w:r>
      <w:r w:rsidR="007F0193" w:rsidRPr="00F81062">
        <w:rPr>
          <w:b/>
          <w:bCs/>
          <w:lang w:val="en-NZ"/>
        </w:rPr>
        <w:t>3:</w:t>
      </w:r>
      <w:r w:rsidR="007F0193" w:rsidRPr="00F81062">
        <w:rPr>
          <w:lang w:val="en-NZ"/>
        </w:rPr>
        <w:t xml:space="preserve"> </w:t>
      </w:r>
      <w:r w:rsidR="00466E96" w:rsidRPr="00F81062">
        <w:rPr>
          <w:lang w:val="en-NZ"/>
        </w:rPr>
        <w:t>declassification decisions</w:t>
      </w:r>
      <w:r w:rsidR="007F0193" w:rsidRPr="00F81062">
        <w:rPr>
          <w:lang w:val="en-NZ"/>
        </w:rPr>
        <w:t xml:space="preserve"> will be consistent with the requirements of the </w:t>
      </w:r>
      <w:r w:rsidR="00FA218B" w:rsidRPr="00F81062">
        <w:rPr>
          <w:lang w:val="en-NZ"/>
        </w:rPr>
        <w:t>P</w:t>
      </w:r>
      <w:r w:rsidR="007F0193" w:rsidRPr="00F81062">
        <w:rPr>
          <w:lang w:val="en-NZ"/>
        </w:rPr>
        <w:t xml:space="preserve">ublic </w:t>
      </w:r>
      <w:r w:rsidR="00FA218B" w:rsidRPr="00F81062">
        <w:rPr>
          <w:lang w:val="en-NZ"/>
        </w:rPr>
        <w:t>R</w:t>
      </w:r>
      <w:r w:rsidR="007F0193" w:rsidRPr="00F81062">
        <w:rPr>
          <w:lang w:val="en-NZ"/>
        </w:rPr>
        <w:t xml:space="preserve">ecords </w:t>
      </w:r>
      <w:r w:rsidR="00FA218B" w:rsidRPr="00F81062">
        <w:rPr>
          <w:lang w:val="en-NZ"/>
        </w:rPr>
        <w:t>A</w:t>
      </w:r>
      <w:r w:rsidR="007F0193" w:rsidRPr="00F81062">
        <w:rPr>
          <w:lang w:val="en-NZ"/>
        </w:rPr>
        <w:t>ct</w:t>
      </w:r>
      <w:r w:rsidR="00FA218B" w:rsidRPr="00F81062">
        <w:rPr>
          <w:lang w:val="en-NZ"/>
        </w:rPr>
        <w:t xml:space="preserve"> </w:t>
      </w:r>
      <w:r w:rsidR="00F81062">
        <w:rPr>
          <w:lang w:val="en-NZ"/>
        </w:rPr>
        <w:t>2005</w:t>
      </w:r>
      <w:r w:rsidR="007F0193" w:rsidRPr="00F81062">
        <w:rPr>
          <w:lang w:val="en-NZ"/>
        </w:rPr>
        <w:t xml:space="preserve">, the </w:t>
      </w:r>
      <w:r w:rsidR="00FA218B" w:rsidRPr="00F81062">
        <w:rPr>
          <w:lang w:val="en-NZ"/>
        </w:rPr>
        <w:t>O</w:t>
      </w:r>
      <w:r w:rsidR="007F0193" w:rsidRPr="00F81062">
        <w:rPr>
          <w:lang w:val="en-NZ"/>
        </w:rPr>
        <w:t>fficial Information Act 1982</w:t>
      </w:r>
      <w:r w:rsidR="00C426FC" w:rsidRPr="00F81062">
        <w:rPr>
          <w:lang w:val="en-NZ"/>
        </w:rPr>
        <w:t xml:space="preserve">, the </w:t>
      </w:r>
      <w:r w:rsidR="00BD1950" w:rsidRPr="00F81062">
        <w:rPr>
          <w:lang w:val="en-NZ"/>
        </w:rPr>
        <w:t>P</w:t>
      </w:r>
      <w:r w:rsidR="00C426FC" w:rsidRPr="00F81062">
        <w:rPr>
          <w:lang w:val="en-NZ"/>
        </w:rPr>
        <w:t xml:space="preserve">rivacy </w:t>
      </w:r>
      <w:r w:rsidR="00BD1950" w:rsidRPr="00F81062">
        <w:rPr>
          <w:lang w:val="en-NZ"/>
        </w:rPr>
        <w:t>A</w:t>
      </w:r>
      <w:r w:rsidR="00C426FC" w:rsidRPr="00F81062">
        <w:rPr>
          <w:lang w:val="en-NZ"/>
        </w:rPr>
        <w:t>ct 2020</w:t>
      </w:r>
      <w:r w:rsidR="00C426FC" w:rsidRPr="00B140FD">
        <w:rPr>
          <w:lang w:val="en-NZ"/>
        </w:rPr>
        <w:t xml:space="preserve"> and with requirements contained in relevant international arrangements or agreement</w:t>
      </w:r>
      <w:r w:rsidR="00EF7208" w:rsidRPr="00B140FD">
        <w:rPr>
          <w:lang w:val="en-NZ"/>
        </w:rPr>
        <w:t>s.</w:t>
      </w:r>
    </w:p>
    <w:p w14:paraId="15932CE7" w14:textId="51F0DEAF" w:rsidR="00331526" w:rsidRPr="00B140FD" w:rsidRDefault="00D02943" w:rsidP="006E271D">
      <w:pPr>
        <w:ind w:left="720"/>
        <w:rPr>
          <w:lang w:val="en-NZ"/>
        </w:rPr>
      </w:pPr>
      <w:r>
        <w:rPr>
          <w:b/>
          <w:bCs/>
          <w:lang w:val="en-NZ"/>
        </w:rPr>
        <w:t>Policy p</w:t>
      </w:r>
      <w:r w:rsidRPr="7F996584">
        <w:rPr>
          <w:b/>
          <w:bCs/>
          <w:lang w:val="en-NZ"/>
        </w:rPr>
        <w:t xml:space="preserve">rinciple </w:t>
      </w:r>
      <w:r w:rsidR="00707153" w:rsidRPr="00B140FD">
        <w:rPr>
          <w:b/>
          <w:bCs/>
          <w:lang w:val="en-NZ"/>
        </w:rPr>
        <w:t>4</w:t>
      </w:r>
      <w:r w:rsidR="00331526" w:rsidRPr="00B140FD">
        <w:rPr>
          <w:lang w:val="en-NZ"/>
        </w:rPr>
        <w:t xml:space="preserve">: declassification </w:t>
      </w:r>
      <w:r w:rsidR="0084322D">
        <w:rPr>
          <w:lang w:val="en-NZ"/>
        </w:rPr>
        <w:t xml:space="preserve">should </w:t>
      </w:r>
      <w:r w:rsidR="00857F66">
        <w:rPr>
          <w:lang w:val="en-NZ"/>
        </w:rPr>
        <w:t>very rarely result in information being permanently restricted</w:t>
      </w:r>
      <w:r w:rsidR="00707153" w:rsidRPr="00B140FD">
        <w:rPr>
          <w:lang w:val="en-NZ"/>
        </w:rPr>
        <w:t xml:space="preserve">.  </w:t>
      </w:r>
      <w:r w:rsidR="000C05D7" w:rsidRPr="00B140FD">
        <w:rPr>
          <w:lang w:val="en-NZ"/>
        </w:rPr>
        <w:t>Even within high-</w:t>
      </w:r>
      <w:r w:rsidR="00A12B3E" w:rsidRPr="00B140FD">
        <w:rPr>
          <w:lang w:val="en-NZ"/>
        </w:rPr>
        <w:t xml:space="preserve">side </w:t>
      </w:r>
      <w:r w:rsidR="000C05D7" w:rsidRPr="00B140FD">
        <w:rPr>
          <w:lang w:val="en-NZ"/>
        </w:rPr>
        <w:t>ag</w:t>
      </w:r>
      <w:r w:rsidR="00E740C6" w:rsidRPr="00B140FD">
        <w:rPr>
          <w:lang w:val="en-NZ"/>
        </w:rPr>
        <w:t xml:space="preserve">encies very little information </w:t>
      </w:r>
      <w:r w:rsidR="00ED734E" w:rsidRPr="00B140FD">
        <w:rPr>
          <w:lang w:val="en-NZ"/>
        </w:rPr>
        <w:t xml:space="preserve">is suitable for </w:t>
      </w:r>
      <w:r w:rsidR="00EC0742">
        <w:rPr>
          <w:lang w:val="en-NZ"/>
        </w:rPr>
        <w:t>permanent</w:t>
      </w:r>
      <w:r w:rsidR="00ED734E" w:rsidRPr="00B140FD">
        <w:rPr>
          <w:lang w:val="en-NZ"/>
        </w:rPr>
        <w:t xml:space="preserve"> </w:t>
      </w:r>
      <w:r w:rsidR="00A12B3E" w:rsidRPr="00B140FD">
        <w:rPr>
          <w:lang w:val="en-NZ"/>
        </w:rPr>
        <w:t>access restrictions.</w:t>
      </w:r>
    </w:p>
    <w:p w14:paraId="504E2605" w14:textId="22BDC1C9" w:rsidR="00E832F0" w:rsidRPr="00B140FD" w:rsidRDefault="00D02943" w:rsidP="006E271D">
      <w:pPr>
        <w:ind w:left="720"/>
        <w:rPr>
          <w:lang w:val="en-NZ"/>
        </w:rPr>
      </w:pPr>
      <w:r>
        <w:rPr>
          <w:b/>
          <w:bCs/>
          <w:lang w:val="en-NZ"/>
        </w:rPr>
        <w:t>Policy p</w:t>
      </w:r>
      <w:r w:rsidRPr="7F996584">
        <w:rPr>
          <w:b/>
          <w:bCs/>
          <w:lang w:val="en-NZ"/>
        </w:rPr>
        <w:t xml:space="preserve">rinciple </w:t>
      </w:r>
      <w:r w:rsidR="00DB4A0C" w:rsidRPr="00B140FD">
        <w:rPr>
          <w:b/>
          <w:bCs/>
          <w:lang w:val="en-NZ"/>
        </w:rPr>
        <w:t>5:</w:t>
      </w:r>
      <w:r w:rsidR="004E3181" w:rsidRPr="00B140FD">
        <w:rPr>
          <w:lang w:val="en-NZ"/>
        </w:rPr>
        <w:t xml:space="preserve"> </w:t>
      </w:r>
      <w:r w:rsidR="00F40325">
        <w:rPr>
          <w:lang w:val="en-NZ"/>
        </w:rPr>
        <w:t>where</w:t>
      </w:r>
      <w:r w:rsidR="004E3181" w:rsidRPr="00B140FD">
        <w:rPr>
          <w:lang w:val="en-NZ"/>
        </w:rPr>
        <w:t xml:space="preserve"> classified material held by the organi</w:t>
      </w:r>
      <w:r w:rsidR="00D119D8">
        <w:rPr>
          <w:lang w:val="en-NZ"/>
        </w:rPr>
        <w:t>s</w:t>
      </w:r>
      <w:r w:rsidR="004E3181" w:rsidRPr="00B140FD">
        <w:rPr>
          <w:lang w:val="en-NZ"/>
        </w:rPr>
        <w:t>ation originates from other governments and agencies</w:t>
      </w:r>
      <w:r w:rsidR="00F40325">
        <w:rPr>
          <w:lang w:val="en-NZ"/>
        </w:rPr>
        <w:t>, their consent will be sought before declassification.</w:t>
      </w:r>
    </w:p>
    <w:p w14:paraId="04E5161A" w14:textId="4D77CCCE" w:rsidR="009D70F8" w:rsidRDefault="00D02943" w:rsidP="00D119D8">
      <w:pPr>
        <w:ind w:left="720"/>
        <w:rPr>
          <w:lang w:val="en-NZ"/>
        </w:rPr>
      </w:pPr>
      <w:r>
        <w:rPr>
          <w:b/>
          <w:bCs/>
          <w:lang w:val="en-NZ"/>
        </w:rPr>
        <w:t>Policy p</w:t>
      </w:r>
      <w:r w:rsidRPr="7F996584">
        <w:rPr>
          <w:b/>
          <w:bCs/>
          <w:lang w:val="en-NZ"/>
        </w:rPr>
        <w:t xml:space="preserve">rinciple </w:t>
      </w:r>
      <w:r w:rsidR="007058A3" w:rsidRPr="22A98166">
        <w:rPr>
          <w:b/>
          <w:bCs/>
          <w:lang w:val="en-NZ"/>
        </w:rPr>
        <w:t>6</w:t>
      </w:r>
      <w:r w:rsidR="007E1167" w:rsidRPr="22A98166">
        <w:rPr>
          <w:lang w:val="en-NZ"/>
        </w:rPr>
        <w:t>: all processes and procedures relating to declassification of archive will maintain the completeness, integrity and authenticity of the original records.</w:t>
      </w:r>
    </w:p>
    <w:p w14:paraId="00117EEB" w14:textId="1CB40631" w:rsidR="007E1167" w:rsidRPr="00B140FD" w:rsidRDefault="007E1167" w:rsidP="0085182A">
      <w:pPr>
        <w:pStyle w:val="Heading2"/>
        <w:rPr>
          <w:lang w:val="en-NZ"/>
        </w:rPr>
      </w:pPr>
      <w:r w:rsidRPr="00B140FD">
        <w:rPr>
          <w:lang w:val="en-NZ"/>
        </w:rPr>
        <w:t>Responsibilities</w:t>
      </w:r>
    </w:p>
    <w:p w14:paraId="59716BD0" w14:textId="0885C297" w:rsidR="007E1167" w:rsidRPr="00B140FD" w:rsidRDefault="007058A3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>The table below highlights the</w:t>
      </w:r>
      <w:r w:rsidR="00EE4DA6" w:rsidRPr="00B140FD">
        <w:rPr>
          <w:lang w:val="en-NZ"/>
        </w:rPr>
        <w:t xml:space="preserve"> responsibilities for oversight and functional responsibilities for archive declassification</w:t>
      </w:r>
      <w:r w:rsidRPr="00B140FD">
        <w:rPr>
          <w:lang w:val="en-NZ"/>
        </w:rPr>
        <w:t xml:space="preserve">.  </w:t>
      </w:r>
    </w:p>
    <w:p w14:paraId="17653181" w14:textId="793CB9ED" w:rsidR="007A5B8F" w:rsidRPr="00B140FD" w:rsidRDefault="008E4341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B140FD">
        <w:rPr>
          <w:i/>
          <w:iCs/>
          <w:color w:val="FF0000"/>
          <w:lang w:val="en-NZ"/>
        </w:rPr>
        <w:t>Agencies must contextualise these roles and functions within their own context</w:t>
      </w:r>
      <w:r w:rsidR="009D5098" w:rsidRPr="00B140FD">
        <w:rPr>
          <w:i/>
          <w:iCs/>
          <w:color w:val="FF0000"/>
          <w:lang w:val="en-NZ"/>
        </w:rPr>
        <w:t xml:space="preserve">, i.e. to decide for themselves how to </w:t>
      </w:r>
      <w:r w:rsidR="00067365" w:rsidRPr="00B140FD">
        <w:rPr>
          <w:i/>
          <w:iCs/>
          <w:color w:val="FF0000"/>
          <w:lang w:val="en-NZ"/>
        </w:rPr>
        <w:t>execute these functions.</w:t>
      </w:r>
      <w:r w:rsidR="005751E6" w:rsidRPr="00B140FD">
        <w:rPr>
          <w:i/>
          <w:iCs/>
          <w:color w:val="FF0000"/>
          <w:lang w:val="en-NZ"/>
        </w:rPr>
        <w:t xml:space="preserve">  For example, declassification requires </w:t>
      </w:r>
      <w:r w:rsidR="003729C3" w:rsidRPr="00B140FD">
        <w:rPr>
          <w:i/>
          <w:iCs/>
          <w:color w:val="FF0000"/>
          <w:lang w:val="en-NZ"/>
        </w:rPr>
        <w:t xml:space="preserve">the function of an </w:t>
      </w:r>
      <w:r w:rsidR="004462B0">
        <w:rPr>
          <w:i/>
          <w:iCs/>
          <w:color w:val="FF0000"/>
          <w:lang w:val="en-NZ"/>
        </w:rPr>
        <w:t>records</w:t>
      </w:r>
      <w:r w:rsidR="003729C3" w:rsidRPr="00B140FD">
        <w:rPr>
          <w:i/>
          <w:iCs/>
          <w:color w:val="FF0000"/>
          <w:lang w:val="en-NZ"/>
        </w:rPr>
        <w:t xml:space="preserve"> declassification panel.  </w:t>
      </w:r>
      <w:r w:rsidR="007A5B8F" w:rsidRPr="00B140FD">
        <w:rPr>
          <w:i/>
          <w:iCs/>
          <w:color w:val="FF0000"/>
          <w:lang w:val="en-NZ"/>
        </w:rPr>
        <w:t xml:space="preserve">They </w:t>
      </w:r>
      <w:r w:rsidR="005C40DE" w:rsidRPr="00B140FD">
        <w:rPr>
          <w:i/>
          <w:iCs/>
          <w:color w:val="FF0000"/>
          <w:lang w:val="en-NZ"/>
        </w:rPr>
        <w:t>are free to decide how best to deliver that function.  For example, an existing group may be expanded to include this function or a separate panel established.</w:t>
      </w:r>
    </w:p>
    <w:p w14:paraId="07795166" w14:textId="77777777" w:rsidR="007A5B8F" w:rsidRPr="00B140FD" w:rsidRDefault="007A5B8F" w:rsidP="00067365">
      <w:pPr>
        <w:pStyle w:val="ListParagraph"/>
        <w:ind w:left="360"/>
        <w:rPr>
          <w:lang w:val="en-NZ"/>
        </w:rPr>
      </w:pPr>
    </w:p>
    <w:tbl>
      <w:tblPr>
        <w:tblStyle w:val="GridTable4-Accent6"/>
        <w:tblW w:w="9156" w:type="dxa"/>
        <w:tblLook w:val="04A0" w:firstRow="1" w:lastRow="0" w:firstColumn="1" w:lastColumn="0" w:noHBand="0" w:noVBand="1"/>
      </w:tblPr>
      <w:tblGrid>
        <w:gridCol w:w="1740"/>
        <w:gridCol w:w="7416"/>
      </w:tblGrid>
      <w:tr w:rsidR="008C5CFA" w:rsidRPr="00B140FD" w14:paraId="17476FC3" w14:textId="77777777" w:rsidTr="7F99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76CCF10F" w14:textId="3E52F09B" w:rsidR="008C5CFA" w:rsidRPr="00B140FD" w:rsidRDefault="00C322FA" w:rsidP="00067365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 xml:space="preserve">Assumed </w:t>
            </w:r>
            <w:r w:rsidR="008C5CFA" w:rsidRPr="00B140FD">
              <w:rPr>
                <w:lang w:val="en-NZ"/>
              </w:rPr>
              <w:t>Role</w:t>
            </w:r>
          </w:p>
        </w:tc>
        <w:tc>
          <w:tcPr>
            <w:tcW w:w="7416" w:type="dxa"/>
          </w:tcPr>
          <w:p w14:paraId="2F48CF5A" w14:textId="11FF3929" w:rsidR="008C5CFA" w:rsidRPr="00B140FD" w:rsidRDefault="00D60C2F" w:rsidP="00067365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Accountable Manager</w:t>
            </w:r>
          </w:p>
        </w:tc>
      </w:tr>
      <w:tr w:rsidR="008C5CFA" w:rsidRPr="00B140FD" w14:paraId="07652D87" w14:textId="77777777" w:rsidTr="7F99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2A974AEE" w14:textId="43B07CD1" w:rsidR="008C5CFA" w:rsidRPr="00B140FD" w:rsidRDefault="008C5CFA" w:rsidP="00067365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Function</w:t>
            </w:r>
          </w:p>
        </w:tc>
        <w:tc>
          <w:tcPr>
            <w:tcW w:w="7416" w:type="dxa"/>
          </w:tcPr>
          <w:p w14:paraId="0922640E" w14:textId="7778589E" w:rsidR="008C5CFA" w:rsidRPr="00B140FD" w:rsidRDefault="00F36556" w:rsidP="0006736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>Senior manager in the organisation with ultimate accountability for declassification</w:t>
            </w:r>
            <w:r w:rsidR="00510860">
              <w:rPr>
                <w:lang w:val="en-NZ"/>
              </w:rPr>
              <w:t>.</w:t>
            </w:r>
          </w:p>
        </w:tc>
      </w:tr>
      <w:tr w:rsidR="008C5CFA" w:rsidRPr="00B140FD" w14:paraId="4DD9917E" w14:textId="77777777" w:rsidTr="7F996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14:paraId="4F904F9C" w14:textId="0E840DD8" w:rsidR="008C5CFA" w:rsidRPr="00B140FD" w:rsidRDefault="008C5CFA" w:rsidP="00067365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Responsibilities</w:t>
            </w:r>
          </w:p>
        </w:tc>
        <w:tc>
          <w:tcPr>
            <w:tcW w:w="7416" w:type="dxa"/>
          </w:tcPr>
          <w:p w14:paraId="01D91B1E" w14:textId="074B6923" w:rsidR="00DC3204" w:rsidRPr="00B140FD" w:rsidRDefault="00DC3204" w:rsidP="00DC320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 xml:space="preserve">Delegating responsibilities for declassifying </w:t>
            </w:r>
            <w:r w:rsidR="004462B0">
              <w:rPr>
                <w:lang w:val="en-NZ"/>
              </w:rPr>
              <w:t>records</w:t>
            </w:r>
          </w:p>
          <w:p w14:paraId="00F211B6" w14:textId="35DE9B7D" w:rsidR="00DC3204" w:rsidRPr="00B140FD" w:rsidRDefault="00562D2F" w:rsidP="00DC320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>A</w:t>
            </w:r>
            <w:r w:rsidR="00DC3204" w:rsidRPr="00B140FD">
              <w:rPr>
                <w:lang w:val="en-NZ"/>
              </w:rPr>
              <w:t>pproving recommendations</w:t>
            </w:r>
            <w:r w:rsidR="00EC0742">
              <w:rPr>
                <w:lang w:val="en-NZ"/>
              </w:rPr>
              <w:t xml:space="preserve"> for declassification of historical records</w:t>
            </w:r>
            <w:r w:rsidR="00DC3204" w:rsidRPr="00B140FD">
              <w:rPr>
                <w:lang w:val="en-NZ"/>
              </w:rPr>
              <w:t xml:space="preserve"> in exceptional circumstances including where there is substantial disagreement about whether to publicly release records or where there is a significant political dimension resulting from declassification recommendations</w:t>
            </w:r>
          </w:p>
          <w:p w14:paraId="619E355B" w14:textId="1635B078" w:rsidR="00DC3204" w:rsidRPr="00B140FD" w:rsidRDefault="00DC3204" w:rsidP="00DC3204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 xml:space="preserve">Briefing </w:t>
            </w:r>
            <w:r w:rsidR="00626B14">
              <w:rPr>
                <w:lang w:val="en-NZ"/>
              </w:rPr>
              <w:t>external stakeholders</w:t>
            </w:r>
            <w:r w:rsidRPr="00B140FD">
              <w:rPr>
                <w:lang w:val="en-NZ"/>
              </w:rPr>
              <w:t xml:space="preserve"> prior to the public release of declassified </w:t>
            </w:r>
            <w:r w:rsidR="009016F3">
              <w:rPr>
                <w:lang w:val="en-NZ"/>
              </w:rPr>
              <w:t xml:space="preserve">historical </w:t>
            </w:r>
            <w:r w:rsidRPr="00B140FD">
              <w:rPr>
                <w:lang w:val="en-NZ"/>
              </w:rPr>
              <w:t>records that may be controversial or subject to public debate</w:t>
            </w:r>
            <w:r w:rsidR="00EF0023">
              <w:rPr>
                <w:lang w:val="en-NZ"/>
              </w:rPr>
              <w:t>, including taking a ‘no surprises’ approach to informing the Minister.</w:t>
            </w:r>
          </w:p>
          <w:p w14:paraId="6E4AFD05" w14:textId="77777777" w:rsidR="008C5CFA" w:rsidRPr="00B140FD" w:rsidRDefault="008C5CFA" w:rsidP="00067365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</w:p>
        </w:tc>
      </w:tr>
    </w:tbl>
    <w:p w14:paraId="77BCABB4" w14:textId="77777777" w:rsidR="00067365" w:rsidRPr="00B140FD" w:rsidRDefault="00067365" w:rsidP="00067365">
      <w:pPr>
        <w:pStyle w:val="ListParagraph"/>
        <w:ind w:left="360"/>
        <w:rPr>
          <w:lang w:val="en-NZ"/>
        </w:rPr>
      </w:pPr>
    </w:p>
    <w:tbl>
      <w:tblPr>
        <w:tblStyle w:val="GridTable4-Accent6"/>
        <w:tblW w:w="9156" w:type="dxa"/>
        <w:tblLook w:val="04A0" w:firstRow="1" w:lastRow="0" w:firstColumn="1" w:lastColumn="0" w:noHBand="0" w:noVBand="1"/>
      </w:tblPr>
      <w:tblGrid>
        <w:gridCol w:w="1710"/>
        <w:gridCol w:w="7446"/>
      </w:tblGrid>
      <w:tr w:rsidR="00A24796" w:rsidRPr="00B140FD" w14:paraId="102E07B2" w14:textId="77777777" w:rsidTr="00F56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7CC5ACE" w14:textId="77777777" w:rsidR="00A24796" w:rsidRPr="00B140FD" w:rsidRDefault="00A24796" w:rsidP="00F56EE3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Assumed Role</w:t>
            </w:r>
          </w:p>
        </w:tc>
        <w:tc>
          <w:tcPr>
            <w:tcW w:w="7446" w:type="dxa"/>
          </w:tcPr>
          <w:p w14:paraId="75C48BA4" w14:textId="77777777" w:rsidR="00A24796" w:rsidRPr="00B140FD" w:rsidRDefault="00A24796" w:rsidP="00F56EE3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Information Manager</w:t>
            </w:r>
          </w:p>
        </w:tc>
      </w:tr>
      <w:tr w:rsidR="00A24796" w:rsidRPr="00B140FD" w14:paraId="06BFE564" w14:textId="77777777" w:rsidTr="00F56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50E9E78B" w14:textId="77777777" w:rsidR="00A24796" w:rsidRPr="00B140FD" w:rsidRDefault="00A24796" w:rsidP="00F56EE3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lastRenderedPageBreak/>
              <w:t>Function</w:t>
            </w:r>
          </w:p>
        </w:tc>
        <w:tc>
          <w:tcPr>
            <w:tcW w:w="7446" w:type="dxa"/>
          </w:tcPr>
          <w:p w14:paraId="38649BF5" w14:textId="089FBC2F" w:rsidR="00A24796" w:rsidRPr="00B140FD" w:rsidRDefault="00A24796" w:rsidP="00F56EE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>Managing the process</w:t>
            </w:r>
            <w:r w:rsidR="009016F3">
              <w:rPr>
                <w:lang w:val="en-NZ"/>
              </w:rPr>
              <w:t xml:space="preserve"> of declassifying historical </w:t>
            </w:r>
            <w:r w:rsidR="0081558F">
              <w:rPr>
                <w:lang w:val="en-NZ"/>
              </w:rPr>
              <w:t>records</w:t>
            </w:r>
            <w:r w:rsidRPr="00B140FD">
              <w:rPr>
                <w:lang w:val="en-NZ"/>
              </w:rPr>
              <w:t>.</w:t>
            </w:r>
          </w:p>
        </w:tc>
      </w:tr>
      <w:tr w:rsidR="00A24796" w:rsidRPr="00B140FD" w14:paraId="428F9853" w14:textId="77777777" w:rsidTr="00F56E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0ACFE993" w14:textId="77777777" w:rsidR="00A24796" w:rsidRPr="00B140FD" w:rsidRDefault="00A24796" w:rsidP="00F56EE3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Responsibilities</w:t>
            </w:r>
          </w:p>
        </w:tc>
        <w:tc>
          <w:tcPr>
            <w:tcW w:w="7446" w:type="dxa"/>
          </w:tcPr>
          <w:p w14:paraId="65406160" w14:textId="77777777" w:rsidR="00A24796" w:rsidRPr="00B140FD" w:rsidRDefault="00A24796" w:rsidP="00F56E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O</w:t>
            </w:r>
            <w:r w:rsidRPr="00B140FD">
              <w:rPr>
                <w:lang w:val="en-NZ"/>
              </w:rPr>
              <w:t>verseeing management of the archive declassification project including supervision of archive declassification officers</w:t>
            </w:r>
          </w:p>
          <w:p w14:paraId="71E489D2" w14:textId="542EDC72" w:rsidR="00A24796" w:rsidRPr="00B140FD" w:rsidRDefault="00A24796" w:rsidP="00F56E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R</w:t>
            </w:r>
            <w:r w:rsidRPr="00B140FD">
              <w:rPr>
                <w:lang w:val="en-NZ"/>
              </w:rPr>
              <w:t xml:space="preserve">eporting on </w:t>
            </w:r>
            <w:r w:rsidR="004462B0">
              <w:rPr>
                <w:lang w:val="en-NZ"/>
              </w:rPr>
              <w:t>records</w:t>
            </w:r>
            <w:r w:rsidR="00A054E8">
              <w:rPr>
                <w:lang w:val="en-NZ"/>
              </w:rPr>
              <w:t xml:space="preserve"> </w:t>
            </w:r>
            <w:r w:rsidRPr="00B140FD">
              <w:rPr>
                <w:lang w:val="en-NZ"/>
              </w:rPr>
              <w:t xml:space="preserve">declassification progress </w:t>
            </w:r>
          </w:p>
          <w:p w14:paraId="67883758" w14:textId="77777777" w:rsidR="00A24796" w:rsidRPr="00B140FD" w:rsidRDefault="00A24796" w:rsidP="00F56E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S</w:t>
            </w:r>
            <w:r w:rsidRPr="00B140FD">
              <w:rPr>
                <w:lang w:val="en-NZ"/>
              </w:rPr>
              <w:t>etting monitoring performance and quality standards</w:t>
            </w:r>
          </w:p>
          <w:p w14:paraId="6FC0271F" w14:textId="578D941B" w:rsidR="00A24796" w:rsidRPr="00B140FD" w:rsidRDefault="00A24796" w:rsidP="00F56E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A</w:t>
            </w:r>
            <w:r w:rsidRPr="00B140FD">
              <w:rPr>
                <w:lang w:val="en-NZ"/>
              </w:rPr>
              <w:t xml:space="preserve">pproving </w:t>
            </w:r>
            <w:r w:rsidR="004462B0">
              <w:rPr>
                <w:lang w:val="en-NZ"/>
              </w:rPr>
              <w:t>records</w:t>
            </w:r>
            <w:r w:rsidR="000456C3">
              <w:rPr>
                <w:lang w:val="en-NZ"/>
              </w:rPr>
              <w:t xml:space="preserve"> </w:t>
            </w:r>
            <w:r w:rsidRPr="00B140FD">
              <w:rPr>
                <w:lang w:val="en-NZ"/>
              </w:rPr>
              <w:t>declassification administrative processes</w:t>
            </w:r>
          </w:p>
          <w:p w14:paraId="39A9CFA4" w14:textId="7A046B67" w:rsidR="00A24796" w:rsidRPr="00B140FD" w:rsidRDefault="00A24796" w:rsidP="00F56EE3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I</w:t>
            </w:r>
            <w:r w:rsidRPr="00B140FD">
              <w:rPr>
                <w:lang w:val="en-NZ"/>
              </w:rPr>
              <w:t xml:space="preserve">dentifying </w:t>
            </w:r>
            <w:r w:rsidR="000456C3">
              <w:rPr>
                <w:lang w:val="en-NZ"/>
              </w:rPr>
              <w:t xml:space="preserve">historical </w:t>
            </w:r>
            <w:r w:rsidRPr="00B140FD">
              <w:rPr>
                <w:lang w:val="en-NZ"/>
              </w:rPr>
              <w:t>records for declassification (in consultation with the subject matter experts)</w:t>
            </w:r>
          </w:p>
        </w:tc>
      </w:tr>
    </w:tbl>
    <w:p w14:paraId="6CA457E2" w14:textId="77777777" w:rsidR="00A24796" w:rsidRPr="00F42444" w:rsidRDefault="00A24796" w:rsidP="00F42444">
      <w:pPr>
        <w:rPr>
          <w:lang w:val="en-NZ"/>
        </w:rPr>
      </w:pPr>
    </w:p>
    <w:tbl>
      <w:tblPr>
        <w:tblStyle w:val="GridTable4-Accent6"/>
        <w:tblW w:w="9156" w:type="dxa"/>
        <w:tblLook w:val="04A0" w:firstRow="1" w:lastRow="0" w:firstColumn="1" w:lastColumn="0" w:noHBand="0" w:noVBand="1"/>
      </w:tblPr>
      <w:tblGrid>
        <w:gridCol w:w="1725"/>
        <w:gridCol w:w="7431"/>
      </w:tblGrid>
      <w:tr w:rsidR="00BF3315" w:rsidRPr="00B140FD" w14:paraId="026DB5E3" w14:textId="77777777" w:rsidTr="7F99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609EDA96" w14:textId="77777777" w:rsidR="00BF3315" w:rsidRPr="00B140FD" w:rsidRDefault="00BF3315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Assumed Role</w:t>
            </w:r>
          </w:p>
        </w:tc>
        <w:tc>
          <w:tcPr>
            <w:tcW w:w="7431" w:type="dxa"/>
          </w:tcPr>
          <w:p w14:paraId="49349CBC" w14:textId="4A738304" w:rsidR="00BF3315" w:rsidRPr="00B140FD" w:rsidRDefault="0014463D" w:rsidP="00935D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>Declassification subject matter expert</w:t>
            </w:r>
            <w:r w:rsidR="00736ED8" w:rsidRPr="00B140FD">
              <w:rPr>
                <w:lang w:val="en-NZ"/>
              </w:rPr>
              <w:t>[s]</w:t>
            </w:r>
          </w:p>
        </w:tc>
      </w:tr>
      <w:tr w:rsidR="00BF3315" w:rsidRPr="00B140FD" w14:paraId="313DCF6D" w14:textId="77777777" w:rsidTr="7F99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5E773EC" w14:textId="77777777" w:rsidR="00BF3315" w:rsidRPr="00B140FD" w:rsidRDefault="00BF3315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Function</w:t>
            </w:r>
          </w:p>
        </w:tc>
        <w:tc>
          <w:tcPr>
            <w:tcW w:w="7431" w:type="dxa"/>
          </w:tcPr>
          <w:p w14:paraId="5B56EFE3" w14:textId="5446A4C0" w:rsidR="00BF3315" w:rsidRPr="00B140FD" w:rsidRDefault="00FB0DD3" w:rsidP="00935D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NZ"/>
              </w:rPr>
            </w:pPr>
            <w:r w:rsidRPr="00B140FD">
              <w:rPr>
                <w:lang w:val="en-NZ"/>
              </w:rPr>
              <w:t>Provid</w:t>
            </w:r>
            <w:r w:rsidR="003A2FF9" w:rsidRPr="00B140FD">
              <w:rPr>
                <w:lang w:val="en-NZ"/>
              </w:rPr>
              <w:t xml:space="preserve">ing advice to </w:t>
            </w:r>
            <w:r w:rsidR="004462B0">
              <w:rPr>
                <w:lang w:val="en-NZ"/>
              </w:rPr>
              <w:t>records</w:t>
            </w:r>
            <w:r w:rsidR="003A2FF9" w:rsidRPr="00B140FD">
              <w:rPr>
                <w:lang w:val="en-NZ"/>
              </w:rPr>
              <w:t xml:space="preserve"> declassification officers and endorsing decisions for </w:t>
            </w:r>
            <w:r w:rsidR="00E4417E" w:rsidRPr="00B140FD">
              <w:rPr>
                <w:lang w:val="en-NZ"/>
              </w:rPr>
              <w:t>management (</w:t>
            </w:r>
            <w:r w:rsidR="004462B0">
              <w:rPr>
                <w:lang w:val="en-NZ"/>
              </w:rPr>
              <w:t>records</w:t>
            </w:r>
            <w:r w:rsidR="00E4417E" w:rsidRPr="00B140FD">
              <w:rPr>
                <w:lang w:val="en-NZ"/>
              </w:rPr>
              <w:t xml:space="preserve"> declassification panel) approval.</w:t>
            </w:r>
          </w:p>
        </w:tc>
      </w:tr>
      <w:tr w:rsidR="00BF3315" w:rsidRPr="00B140FD" w14:paraId="434772AE" w14:textId="77777777" w:rsidTr="7F996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B4B5B05" w14:textId="77777777" w:rsidR="00BF3315" w:rsidRPr="00B140FD" w:rsidRDefault="00BF3315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Responsibilities</w:t>
            </w:r>
          </w:p>
        </w:tc>
        <w:tc>
          <w:tcPr>
            <w:tcW w:w="7431" w:type="dxa"/>
          </w:tcPr>
          <w:p w14:paraId="207FA7D1" w14:textId="1025CEB8" w:rsidR="0014463D" w:rsidRPr="00B140FD" w:rsidRDefault="00C52F98" w:rsidP="0014463D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R</w:t>
            </w:r>
            <w:r w:rsidR="0014463D" w:rsidRPr="00B140FD">
              <w:rPr>
                <w:lang w:val="en-NZ"/>
              </w:rPr>
              <w:t xml:space="preserve">eviewing and endorsing </w:t>
            </w:r>
            <w:r w:rsidR="004462B0">
              <w:rPr>
                <w:lang w:val="en-NZ"/>
              </w:rPr>
              <w:t>records</w:t>
            </w:r>
            <w:r w:rsidR="000456C3">
              <w:rPr>
                <w:lang w:val="en-NZ"/>
              </w:rPr>
              <w:t xml:space="preserve"> </w:t>
            </w:r>
            <w:r w:rsidR="0014463D" w:rsidRPr="00B140FD">
              <w:rPr>
                <w:lang w:val="en-NZ"/>
              </w:rPr>
              <w:t>declassification procedures and processes</w:t>
            </w:r>
          </w:p>
          <w:p w14:paraId="2F5AA3B7" w14:textId="6D64F619" w:rsidR="00BF3315" w:rsidRPr="00B140FD" w:rsidRDefault="00C52F98" w:rsidP="0061540A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Ad</w:t>
            </w:r>
            <w:r w:rsidR="0014463D" w:rsidRPr="00B140FD">
              <w:rPr>
                <w:lang w:val="en-NZ"/>
              </w:rPr>
              <w:t xml:space="preserve">vising staff involved with declassifying </w:t>
            </w:r>
            <w:r w:rsidR="00E9683B">
              <w:rPr>
                <w:lang w:val="en-NZ"/>
              </w:rPr>
              <w:t xml:space="preserve">historical </w:t>
            </w:r>
            <w:r w:rsidR="0014463D" w:rsidRPr="00B140FD">
              <w:rPr>
                <w:lang w:val="en-NZ"/>
              </w:rPr>
              <w:t>records</w:t>
            </w:r>
          </w:p>
        </w:tc>
      </w:tr>
    </w:tbl>
    <w:p w14:paraId="75874033" w14:textId="77777777" w:rsidR="00A24796" w:rsidRPr="005802FB" w:rsidRDefault="00A24796" w:rsidP="005802FB">
      <w:pPr>
        <w:rPr>
          <w:lang w:val="en-NZ"/>
        </w:rPr>
      </w:pPr>
    </w:p>
    <w:tbl>
      <w:tblPr>
        <w:tblStyle w:val="GridTable4-Accent6"/>
        <w:tblW w:w="9156" w:type="dxa"/>
        <w:tblLook w:val="04A0" w:firstRow="1" w:lastRow="0" w:firstColumn="1" w:lastColumn="0" w:noHBand="0" w:noVBand="1"/>
      </w:tblPr>
      <w:tblGrid>
        <w:gridCol w:w="1725"/>
        <w:gridCol w:w="7431"/>
      </w:tblGrid>
      <w:tr w:rsidR="001E06E9" w:rsidRPr="00B140FD" w14:paraId="405F5891" w14:textId="77777777" w:rsidTr="7F99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02317C34" w14:textId="77777777" w:rsidR="001E06E9" w:rsidRPr="00B140FD" w:rsidRDefault="001E06E9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Assumed Role</w:t>
            </w:r>
          </w:p>
        </w:tc>
        <w:tc>
          <w:tcPr>
            <w:tcW w:w="7431" w:type="dxa"/>
          </w:tcPr>
          <w:p w14:paraId="3F7681D3" w14:textId="36C41E9A" w:rsidR="001E06E9" w:rsidRPr="00F81062" w:rsidRDefault="00075DDB" w:rsidP="00935D7B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Records declassification officers</w:t>
            </w:r>
          </w:p>
        </w:tc>
      </w:tr>
      <w:tr w:rsidR="001E06E9" w:rsidRPr="00B140FD" w14:paraId="37582BCF" w14:textId="77777777" w:rsidTr="7F99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24D58626" w14:textId="77777777" w:rsidR="001E06E9" w:rsidRPr="00B140FD" w:rsidRDefault="001E06E9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Function</w:t>
            </w:r>
          </w:p>
        </w:tc>
        <w:tc>
          <w:tcPr>
            <w:tcW w:w="7431" w:type="dxa"/>
          </w:tcPr>
          <w:p w14:paraId="2E88209E" w14:textId="7720BEFC" w:rsidR="001E06E9" w:rsidRPr="00F81062" w:rsidRDefault="00DA256C" w:rsidP="00935D7B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NZ"/>
              </w:rPr>
            </w:pPr>
            <w:r w:rsidRPr="00F81062">
              <w:rPr>
                <w:lang w:val="en-NZ"/>
              </w:rPr>
              <w:t>Reviewing and declassifying records</w:t>
            </w:r>
            <w:r w:rsidR="00CD5310" w:rsidRPr="00F81062">
              <w:rPr>
                <w:lang w:val="en-NZ"/>
              </w:rPr>
              <w:t xml:space="preserve"> and identifying records for potential declassification.</w:t>
            </w:r>
          </w:p>
        </w:tc>
      </w:tr>
      <w:tr w:rsidR="001E06E9" w:rsidRPr="00B140FD" w14:paraId="72EEAB74" w14:textId="77777777" w:rsidTr="7F9965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5" w:type="dxa"/>
          </w:tcPr>
          <w:p w14:paraId="4C9578F1" w14:textId="77777777" w:rsidR="001E06E9" w:rsidRPr="00B140FD" w:rsidRDefault="001E06E9" w:rsidP="00935D7B">
            <w:pPr>
              <w:pStyle w:val="ListParagraph"/>
              <w:ind w:left="0"/>
              <w:rPr>
                <w:lang w:val="en-NZ"/>
              </w:rPr>
            </w:pPr>
            <w:r w:rsidRPr="00B140FD">
              <w:rPr>
                <w:lang w:val="en-NZ"/>
              </w:rPr>
              <w:t>Responsibilities</w:t>
            </w:r>
          </w:p>
        </w:tc>
        <w:tc>
          <w:tcPr>
            <w:tcW w:w="7431" w:type="dxa"/>
          </w:tcPr>
          <w:p w14:paraId="33FCA68B" w14:textId="459DDDA4" w:rsidR="001E06E9" w:rsidRPr="00F81062" w:rsidRDefault="00E9683B" w:rsidP="001E06E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>
              <w:rPr>
                <w:lang w:val="en-NZ"/>
              </w:rPr>
              <w:t>Assessing historical</w:t>
            </w:r>
            <w:r w:rsidR="001E06E9" w:rsidRPr="00F81062">
              <w:rPr>
                <w:lang w:val="en-NZ"/>
              </w:rPr>
              <w:t xml:space="preserve"> record</w:t>
            </w:r>
            <w:r>
              <w:rPr>
                <w:lang w:val="en-NZ"/>
              </w:rPr>
              <w:t>s</w:t>
            </w:r>
            <w:r w:rsidR="001E06E9" w:rsidRPr="00F81062">
              <w:rPr>
                <w:lang w:val="en-NZ"/>
              </w:rPr>
              <w:t xml:space="preserve"> to determine whether the original classification should continue to apply</w:t>
            </w:r>
          </w:p>
          <w:p w14:paraId="7E8DF271" w14:textId="440EF250" w:rsidR="001E06E9" w:rsidRPr="00F81062" w:rsidRDefault="00C52F98" w:rsidP="001E06E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F81062">
              <w:rPr>
                <w:lang w:val="en-NZ"/>
              </w:rPr>
              <w:t>I</w:t>
            </w:r>
            <w:r w:rsidR="001E06E9" w:rsidRPr="00F81062">
              <w:rPr>
                <w:lang w:val="en-NZ"/>
              </w:rPr>
              <w:t xml:space="preserve">dentifying </w:t>
            </w:r>
            <w:r w:rsidR="007F4D3A">
              <w:rPr>
                <w:lang w:val="en-NZ"/>
              </w:rPr>
              <w:t xml:space="preserve">historical </w:t>
            </w:r>
            <w:r w:rsidR="00075DDB">
              <w:rPr>
                <w:lang w:val="en-NZ"/>
              </w:rPr>
              <w:t>records</w:t>
            </w:r>
            <w:r w:rsidR="001E06E9" w:rsidRPr="00F81062">
              <w:rPr>
                <w:lang w:val="en-NZ"/>
              </w:rPr>
              <w:t xml:space="preserve"> for public release</w:t>
            </w:r>
          </w:p>
          <w:p w14:paraId="269AD1FD" w14:textId="1234607E" w:rsidR="001E06E9" w:rsidRPr="00F81062" w:rsidRDefault="00C52F98" w:rsidP="001E06E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F81062">
              <w:rPr>
                <w:lang w:val="en-NZ"/>
              </w:rPr>
              <w:t>E</w:t>
            </w:r>
            <w:r w:rsidR="001E06E9" w:rsidRPr="00F81062">
              <w:rPr>
                <w:lang w:val="en-NZ"/>
              </w:rPr>
              <w:t>nsuring that new Zealand’s national security</w:t>
            </w:r>
            <w:r w:rsidR="005B29C0">
              <w:rPr>
                <w:lang w:val="en-NZ"/>
              </w:rPr>
              <w:t>, f</w:t>
            </w:r>
            <w:r w:rsidR="001E06E9" w:rsidRPr="00F81062">
              <w:rPr>
                <w:lang w:val="en-NZ"/>
              </w:rPr>
              <w:t xml:space="preserve">oreign </w:t>
            </w:r>
            <w:r w:rsidR="005B29C0">
              <w:rPr>
                <w:lang w:val="en-NZ"/>
              </w:rPr>
              <w:t>r</w:t>
            </w:r>
            <w:r w:rsidR="001E06E9" w:rsidRPr="00F81062">
              <w:rPr>
                <w:lang w:val="en-NZ"/>
              </w:rPr>
              <w:t>elations and personal privacy</w:t>
            </w:r>
            <w:r w:rsidR="008B0381">
              <w:rPr>
                <w:lang w:val="en-NZ"/>
              </w:rPr>
              <w:t xml:space="preserve"> interests</w:t>
            </w:r>
            <w:r w:rsidR="001E06E9" w:rsidRPr="00F81062">
              <w:rPr>
                <w:lang w:val="en-NZ"/>
              </w:rPr>
              <w:t xml:space="preserve"> are not compromised by the inappropriate release of information</w:t>
            </w:r>
          </w:p>
          <w:p w14:paraId="1C7690FB" w14:textId="76DDB14E" w:rsidR="001E06E9" w:rsidRPr="00F81062" w:rsidRDefault="00C52F98" w:rsidP="001E06E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F81062">
              <w:rPr>
                <w:lang w:val="en-NZ"/>
              </w:rPr>
              <w:t>S</w:t>
            </w:r>
            <w:r w:rsidR="001E06E9" w:rsidRPr="00F81062">
              <w:rPr>
                <w:lang w:val="en-NZ"/>
              </w:rPr>
              <w:t>eeking approval of declassification recommendations for information provided by other agencies and jurisdictions, i.e. consultation with relevant governments and agencies</w:t>
            </w:r>
          </w:p>
          <w:p w14:paraId="5E836CB8" w14:textId="7CDB6E0D" w:rsidR="001E06E9" w:rsidRPr="00F81062" w:rsidRDefault="00C52F98" w:rsidP="001E06E9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NZ"/>
              </w:rPr>
            </w:pPr>
            <w:r w:rsidRPr="00F81062">
              <w:rPr>
                <w:lang w:val="en-NZ"/>
              </w:rPr>
              <w:t>D</w:t>
            </w:r>
            <w:r w:rsidR="001E06E9" w:rsidRPr="00F81062">
              <w:rPr>
                <w:lang w:val="en-NZ"/>
              </w:rPr>
              <w:t xml:space="preserve">ocumenting declassification analysis and recommendations to standards set </w:t>
            </w:r>
            <w:r w:rsidR="007A3A10" w:rsidRPr="00F81062">
              <w:rPr>
                <w:lang w:val="en-NZ"/>
              </w:rPr>
              <w:t>by</w:t>
            </w:r>
            <w:r w:rsidR="001E06E9" w:rsidRPr="00F81062">
              <w:rPr>
                <w:lang w:val="en-NZ"/>
              </w:rPr>
              <w:t xml:space="preserve"> the information management team</w:t>
            </w:r>
          </w:p>
        </w:tc>
      </w:tr>
    </w:tbl>
    <w:p w14:paraId="2D431961" w14:textId="77777777" w:rsidR="001E06E9" w:rsidRPr="00B140FD" w:rsidRDefault="001E06E9" w:rsidP="00067365">
      <w:pPr>
        <w:pStyle w:val="ListParagraph"/>
        <w:ind w:left="360"/>
        <w:rPr>
          <w:lang w:val="en-NZ"/>
        </w:rPr>
      </w:pPr>
    </w:p>
    <w:p w14:paraId="18D5C257" w14:textId="6FF2759B" w:rsidR="006F71E2" w:rsidRPr="00B140FD" w:rsidRDefault="00A71D75" w:rsidP="0085182A">
      <w:pPr>
        <w:pStyle w:val="Heading2"/>
        <w:rPr>
          <w:lang w:val="en-NZ"/>
        </w:rPr>
      </w:pPr>
      <w:r>
        <w:rPr>
          <w:lang w:val="en-NZ"/>
        </w:rPr>
        <w:t>Restriction periods</w:t>
      </w:r>
    </w:p>
    <w:p w14:paraId="3EFB5368" w14:textId="24C791CC" w:rsidR="00E93561" w:rsidRPr="00B140FD" w:rsidRDefault="00CD5310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lang w:val="en-NZ"/>
        </w:rPr>
        <w:t>T</w:t>
      </w:r>
      <w:r w:rsidR="006F71E2" w:rsidRPr="00B140FD">
        <w:rPr>
          <w:lang w:val="en-NZ"/>
        </w:rPr>
        <w:t xml:space="preserve">he </w:t>
      </w:r>
      <w:r w:rsidR="00A71D75">
        <w:rPr>
          <w:lang w:val="en-NZ"/>
        </w:rPr>
        <w:t xml:space="preserve">table below records </w:t>
      </w:r>
      <w:r w:rsidR="00CE6E48">
        <w:rPr>
          <w:lang w:val="en-NZ"/>
        </w:rPr>
        <w:t xml:space="preserve">what restriction periods the </w:t>
      </w:r>
      <w:r w:rsidR="002935CC" w:rsidRPr="00B140FD">
        <w:rPr>
          <w:lang w:val="en-NZ"/>
        </w:rPr>
        <w:t>&lt;&lt;ORGANISATION&gt;&gt;</w:t>
      </w:r>
      <w:r w:rsidR="002935CC">
        <w:rPr>
          <w:lang w:val="en-NZ"/>
        </w:rPr>
        <w:t xml:space="preserve"> applies </w:t>
      </w:r>
      <w:r w:rsidR="00CF5566">
        <w:rPr>
          <w:lang w:val="en-NZ"/>
        </w:rPr>
        <w:t xml:space="preserve">to </w:t>
      </w:r>
      <w:r w:rsidR="00CF5BB2">
        <w:rPr>
          <w:lang w:val="en-NZ"/>
        </w:rPr>
        <w:t xml:space="preserve">the types of information it normally holds.  </w:t>
      </w:r>
    </w:p>
    <w:p w14:paraId="0283BF0C" w14:textId="26A490CD" w:rsidR="00832A28" w:rsidRPr="00B140FD" w:rsidRDefault="00BD45A6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B140FD">
        <w:rPr>
          <w:i/>
          <w:iCs/>
          <w:color w:val="FF0000"/>
          <w:lang w:val="en-NZ"/>
        </w:rPr>
        <w:t>T</w:t>
      </w:r>
      <w:r w:rsidR="00832A28" w:rsidRPr="00B140FD">
        <w:rPr>
          <w:i/>
          <w:iCs/>
          <w:color w:val="FF0000"/>
          <w:lang w:val="en-NZ"/>
        </w:rPr>
        <w:t>he table below provides a suggested format</w:t>
      </w:r>
      <w:r w:rsidR="00167C5B" w:rsidRPr="00B140FD">
        <w:rPr>
          <w:i/>
          <w:iCs/>
          <w:color w:val="FF0000"/>
          <w:lang w:val="en-NZ"/>
        </w:rPr>
        <w:t xml:space="preserve"> for recording declassification criteria.  some examples are given to give an idea</w:t>
      </w:r>
      <w:r w:rsidR="00B565CE" w:rsidRPr="00B140FD">
        <w:rPr>
          <w:i/>
          <w:iCs/>
          <w:color w:val="FF0000"/>
          <w:lang w:val="en-NZ"/>
        </w:rPr>
        <w:t xml:space="preserve"> of how the template can be used. However actual criteria should </w:t>
      </w:r>
      <w:r w:rsidRPr="00B140FD">
        <w:rPr>
          <w:i/>
          <w:iCs/>
          <w:color w:val="FF0000"/>
          <w:lang w:val="en-NZ"/>
        </w:rPr>
        <w:t>refer</w:t>
      </w:r>
      <w:r w:rsidR="00B565CE" w:rsidRPr="00B140FD">
        <w:rPr>
          <w:i/>
          <w:iCs/>
          <w:color w:val="FF0000"/>
          <w:lang w:val="en-NZ"/>
        </w:rPr>
        <w:t xml:space="preserve"> to the specific legislation and operational context of the agency in question.  </w:t>
      </w:r>
    </w:p>
    <w:p w14:paraId="4DDB6957" w14:textId="139749FD" w:rsidR="00B565CE" w:rsidRPr="00B140FD" w:rsidRDefault="00B565CE" w:rsidP="002711CF">
      <w:pPr>
        <w:pStyle w:val="ListParagraph"/>
        <w:rPr>
          <w:i/>
          <w:iCs/>
          <w:color w:val="FF0000"/>
          <w:lang w:val="en-NZ"/>
        </w:rPr>
      </w:pPr>
    </w:p>
    <w:tbl>
      <w:tblPr>
        <w:tblStyle w:val="TableGrid"/>
        <w:tblW w:w="0" w:type="auto"/>
        <w:tblInd w:w="704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851"/>
        <w:gridCol w:w="2268"/>
        <w:gridCol w:w="3189"/>
        <w:gridCol w:w="2338"/>
      </w:tblGrid>
      <w:tr w:rsidR="00E93561" w:rsidRPr="00B140FD" w14:paraId="604750EE" w14:textId="77777777" w:rsidTr="00430844">
        <w:tc>
          <w:tcPr>
            <w:tcW w:w="851" w:type="dxa"/>
            <w:shd w:val="clear" w:color="auto" w:fill="E2EFD9" w:themeFill="accent6" w:themeFillTint="33"/>
          </w:tcPr>
          <w:p w14:paraId="04405931" w14:textId="7B177B55" w:rsidR="00E93561" w:rsidRPr="00B140FD" w:rsidRDefault="00E93561" w:rsidP="006F71E2">
            <w:pPr>
              <w:rPr>
                <w:b/>
                <w:bCs/>
                <w:lang w:val="en-NZ"/>
              </w:rPr>
            </w:pPr>
            <w:r w:rsidRPr="00B140FD">
              <w:rPr>
                <w:b/>
                <w:bCs/>
                <w:lang w:val="en-NZ"/>
              </w:rPr>
              <w:t>No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3AA5EC7" w14:textId="380509F9" w:rsidR="00E93561" w:rsidRPr="00B140FD" w:rsidRDefault="00E93561" w:rsidP="006F71E2">
            <w:pPr>
              <w:rPr>
                <w:b/>
                <w:bCs/>
                <w:lang w:val="en-NZ"/>
              </w:rPr>
            </w:pPr>
            <w:r w:rsidRPr="00B140FD">
              <w:rPr>
                <w:b/>
                <w:bCs/>
                <w:lang w:val="en-NZ"/>
              </w:rPr>
              <w:t>Category</w:t>
            </w:r>
          </w:p>
        </w:tc>
        <w:tc>
          <w:tcPr>
            <w:tcW w:w="3189" w:type="dxa"/>
            <w:shd w:val="clear" w:color="auto" w:fill="E2EFD9" w:themeFill="accent6" w:themeFillTint="33"/>
          </w:tcPr>
          <w:p w14:paraId="2A02D80E" w14:textId="730046B2" w:rsidR="00E93561" w:rsidRPr="00B140FD" w:rsidRDefault="00E93561" w:rsidP="006F71E2">
            <w:pPr>
              <w:rPr>
                <w:b/>
                <w:bCs/>
                <w:lang w:val="en-NZ"/>
              </w:rPr>
            </w:pPr>
            <w:r w:rsidRPr="00B140FD">
              <w:rPr>
                <w:b/>
                <w:bCs/>
                <w:lang w:val="en-NZ"/>
              </w:rPr>
              <w:t>Description</w:t>
            </w:r>
          </w:p>
        </w:tc>
        <w:tc>
          <w:tcPr>
            <w:tcW w:w="2338" w:type="dxa"/>
            <w:shd w:val="clear" w:color="auto" w:fill="E2EFD9" w:themeFill="accent6" w:themeFillTint="33"/>
          </w:tcPr>
          <w:p w14:paraId="4A2749CE" w14:textId="27809DE5" w:rsidR="00E93561" w:rsidRPr="00B140FD" w:rsidRDefault="00E93561" w:rsidP="006F71E2">
            <w:pPr>
              <w:rPr>
                <w:b/>
                <w:bCs/>
                <w:lang w:val="en-NZ"/>
              </w:rPr>
            </w:pPr>
            <w:r w:rsidRPr="00B140FD">
              <w:rPr>
                <w:b/>
                <w:bCs/>
                <w:lang w:val="en-NZ"/>
              </w:rPr>
              <w:t>Recommended restriction period</w:t>
            </w:r>
          </w:p>
        </w:tc>
      </w:tr>
      <w:tr w:rsidR="007C1B7B" w:rsidRPr="008533F8" w14:paraId="0BF19244" w14:textId="77777777" w:rsidTr="00430844">
        <w:tc>
          <w:tcPr>
            <w:tcW w:w="851" w:type="dxa"/>
            <w:shd w:val="clear" w:color="auto" w:fill="E2EFD9" w:themeFill="accent6" w:themeFillTint="33"/>
          </w:tcPr>
          <w:p w14:paraId="6B9A85D5" w14:textId="55CB4506" w:rsidR="007C1B7B" w:rsidRPr="008533F8" w:rsidRDefault="00AC6E8B" w:rsidP="007C1B7B">
            <w:pPr>
              <w:rPr>
                <w:lang w:val="en-NZ"/>
              </w:rPr>
            </w:pPr>
            <w:r>
              <w:rPr>
                <w:lang w:val="en-NZ"/>
              </w:rPr>
              <w:t>1</w:t>
            </w:r>
          </w:p>
        </w:tc>
        <w:tc>
          <w:tcPr>
            <w:tcW w:w="2268" w:type="dxa"/>
          </w:tcPr>
          <w:p w14:paraId="220D38D6" w14:textId="4E7CE7D3" w:rsidR="007C1B7B" w:rsidRPr="008533F8" w:rsidRDefault="00C06AA0" w:rsidP="007C1B7B">
            <w:pPr>
              <w:rPr>
                <w:lang w:val="en-NZ"/>
              </w:rPr>
            </w:pPr>
            <w:r w:rsidRPr="008533F8">
              <w:rPr>
                <w:lang w:val="en-NZ"/>
              </w:rPr>
              <w:t>Highly sensitive personal information about individuals</w:t>
            </w:r>
          </w:p>
        </w:tc>
        <w:tc>
          <w:tcPr>
            <w:tcW w:w="3189" w:type="dxa"/>
          </w:tcPr>
          <w:p w14:paraId="704A3857" w14:textId="551F0627" w:rsidR="007C1B7B" w:rsidRPr="008533F8" w:rsidRDefault="002D1F3C" w:rsidP="007C1B7B">
            <w:pPr>
              <w:rPr>
                <w:lang w:val="en-NZ"/>
              </w:rPr>
            </w:pPr>
            <w:r w:rsidRPr="008533F8">
              <w:rPr>
                <w:lang w:val="en-NZ"/>
              </w:rPr>
              <w:t xml:space="preserve">Include information where there is a risk to the safety of a living individual. </w:t>
            </w:r>
          </w:p>
        </w:tc>
        <w:tc>
          <w:tcPr>
            <w:tcW w:w="2338" w:type="dxa"/>
          </w:tcPr>
          <w:p w14:paraId="6A605033" w14:textId="1EAFD006" w:rsidR="007C1B7B" w:rsidRPr="008533F8" w:rsidRDefault="00A71D75" w:rsidP="007C1B7B">
            <w:pPr>
              <w:rPr>
                <w:lang w:val="en-NZ"/>
              </w:rPr>
            </w:pPr>
            <w:r>
              <w:rPr>
                <w:lang w:val="en-NZ"/>
              </w:rPr>
              <w:t>70</w:t>
            </w:r>
            <w:r w:rsidR="00832A28" w:rsidRPr="008533F8">
              <w:rPr>
                <w:lang w:val="en-NZ"/>
              </w:rPr>
              <w:t xml:space="preserve"> years from the date of record closure</w:t>
            </w:r>
          </w:p>
        </w:tc>
      </w:tr>
      <w:tr w:rsidR="007C1B7B" w:rsidRPr="008533F8" w14:paraId="27336CAB" w14:textId="77777777" w:rsidTr="00430844">
        <w:tc>
          <w:tcPr>
            <w:tcW w:w="851" w:type="dxa"/>
            <w:shd w:val="clear" w:color="auto" w:fill="E2EFD9" w:themeFill="accent6" w:themeFillTint="33"/>
          </w:tcPr>
          <w:p w14:paraId="4D84F718" w14:textId="62F4000A" w:rsidR="007C1B7B" w:rsidRPr="008533F8" w:rsidRDefault="00AC6E8B" w:rsidP="007C1B7B">
            <w:pPr>
              <w:rPr>
                <w:lang w:val="en-NZ"/>
              </w:rPr>
            </w:pPr>
            <w:r>
              <w:rPr>
                <w:lang w:val="en-NZ"/>
              </w:rPr>
              <w:lastRenderedPageBreak/>
              <w:t>2</w:t>
            </w:r>
          </w:p>
        </w:tc>
        <w:tc>
          <w:tcPr>
            <w:tcW w:w="2268" w:type="dxa"/>
          </w:tcPr>
          <w:p w14:paraId="01083CFF" w14:textId="707819A2" w:rsidR="007C1B7B" w:rsidRPr="008533F8" w:rsidRDefault="003452DC" w:rsidP="007C1B7B">
            <w:pPr>
              <w:rPr>
                <w:lang w:val="en-NZ"/>
              </w:rPr>
            </w:pPr>
            <w:r w:rsidRPr="008533F8">
              <w:rPr>
                <w:lang w:val="en-NZ"/>
              </w:rPr>
              <w:t>Information which includes details of criminal offenses</w:t>
            </w:r>
          </w:p>
        </w:tc>
        <w:tc>
          <w:tcPr>
            <w:tcW w:w="3189" w:type="dxa"/>
          </w:tcPr>
          <w:p w14:paraId="3418BDFB" w14:textId="315E7445" w:rsidR="007C1B7B" w:rsidRPr="008533F8" w:rsidRDefault="003452DC" w:rsidP="007C1B7B">
            <w:pPr>
              <w:rPr>
                <w:lang w:val="en-NZ"/>
              </w:rPr>
            </w:pPr>
            <w:r w:rsidRPr="008533F8">
              <w:rPr>
                <w:lang w:val="en-NZ"/>
              </w:rPr>
              <w:t>consistent with restrictions applied to Criminal Court records</w:t>
            </w:r>
          </w:p>
        </w:tc>
        <w:tc>
          <w:tcPr>
            <w:tcW w:w="2338" w:type="dxa"/>
          </w:tcPr>
          <w:p w14:paraId="343D1AA1" w14:textId="3AD54E69" w:rsidR="007C1B7B" w:rsidRPr="008533F8" w:rsidRDefault="00A71D75" w:rsidP="007C1B7B">
            <w:pPr>
              <w:rPr>
                <w:lang w:val="en-NZ"/>
              </w:rPr>
            </w:pPr>
            <w:r>
              <w:rPr>
                <w:lang w:val="en-NZ"/>
              </w:rPr>
              <w:t>70</w:t>
            </w:r>
            <w:r w:rsidR="003452DC" w:rsidRPr="008533F8">
              <w:rPr>
                <w:lang w:val="en-NZ"/>
              </w:rPr>
              <w:t xml:space="preserve"> years from the date of record closure</w:t>
            </w:r>
          </w:p>
        </w:tc>
      </w:tr>
      <w:tr w:rsidR="00087B9B" w:rsidRPr="008533F8" w14:paraId="66F63177" w14:textId="77777777" w:rsidTr="00430844">
        <w:tc>
          <w:tcPr>
            <w:tcW w:w="851" w:type="dxa"/>
            <w:shd w:val="clear" w:color="auto" w:fill="E2EFD9" w:themeFill="accent6" w:themeFillTint="33"/>
          </w:tcPr>
          <w:p w14:paraId="709A7792" w14:textId="67BD3601" w:rsidR="00087B9B" w:rsidRPr="008533F8" w:rsidRDefault="00AC6E8B" w:rsidP="007C1B7B">
            <w:pPr>
              <w:rPr>
                <w:lang w:val="en-NZ"/>
              </w:rPr>
            </w:pPr>
            <w:r>
              <w:rPr>
                <w:lang w:val="en-NZ"/>
              </w:rPr>
              <w:t>3</w:t>
            </w:r>
          </w:p>
        </w:tc>
        <w:tc>
          <w:tcPr>
            <w:tcW w:w="2268" w:type="dxa"/>
          </w:tcPr>
          <w:p w14:paraId="70E9FE44" w14:textId="605FC33F" w:rsidR="00087B9B" w:rsidRPr="008533F8" w:rsidRDefault="00087B9B" w:rsidP="007C1B7B">
            <w:pPr>
              <w:rPr>
                <w:lang w:val="en-NZ"/>
              </w:rPr>
            </w:pPr>
            <w:r>
              <w:rPr>
                <w:lang w:val="en-NZ"/>
              </w:rPr>
              <w:t>…</w:t>
            </w:r>
          </w:p>
        </w:tc>
        <w:tc>
          <w:tcPr>
            <w:tcW w:w="3189" w:type="dxa"/>
          </w:tcPr>
          <w:p w14:paraId="5BCC7C00" w14:textId="1A17E65A" w:rsidR="00087B9B" w:rsidRPr="008533F8" w:rsidRDefault="00087B9B" w:rsidP="007C1B7B">
            <w:pPr>
              <w:rPr>
                <w:lang w:val="en-NZ"/>
              </w:rPr>
            </w:pPr>
            <w:r>
              <w:rPr>
                <w:lang w:val="en-NZ"/>
              </w:rPr>
              <w:t>…</w:t>
            </w:r>
          </w:p>
        </w:tc>
        <w:tc>
          <w:tcPr>
            <w:tcW w:w="2338" w:type="dxa"/>
          </w:tcPr>
          <w:p w14:paraId="4EBDEB3C" w14:textId="51D2FE00" w:rsidR="00087B9B" w:rsidRDefault="00087B9B" w:rsidP="007C1B7B">
            <w:pPr>
              <w:rPr>
                <w:lang w:val="en-NZ"/>
              </w:rPr>
            </w:pPr>
            <w:r>
              <w:rPr>
                <w:lang w:val="en-NZ"/>
              </w:rPr>
              <w:t>…</w:t>
            </w:r>
          </w:p>
        </w:tc>
      </w:tr>
    </w:tbl>
    <w:p w14:paraId="4C61B0D8" w14:textId="77777777" w:rsidR="00E93561" w:rsidRPr="008533F8" w:rsidRDefault="00E93561" w:rsidP="006F71E2">
      <w:pPr>
        <w:rPr>
          <w:lang w:val="en-NZ"/>
        </w:rPr>
      </w:pPr>
    </w:p>
    <w:p w14:paraId="02E740A9" w14:textId="6E1084E1" w:rsidR="00A20043" w:rsidRDefault="00DD3181" w:rsidP="0085182A">
      <w:pPr>
        <w:pStyle w:val="Heading2"/>
        <w:rPr>
          <w:lang w:val="en-NZ"/>
        </w:rPr>
      </w:pPr>
      <w:r>
        <w:rPr>
          <w:lang w:val="en-NZ"/>
        </w:rPr>
        <w:t>Triggers for declassification</w:t>
      </w:r>
    </w:p>
    <w:p w14:paraId="7DF96555" w14:textId="4CE85260" w:rsidR="00DD3181" w:rsidRPr="006F1D30" w:rsidRDefault="006F1D30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6F1D30">
        <w:rPr>
          <w:i/>
          <w:iCs/>
          <w:color w:val="FF0000"/>
          <w:lang w:val="en-NZ"/>
        </w:rPr>
        <w:t xml:space="preserve">This </w:t>
      </w:r>
      <w:r>
        <w:rPr>
          <w:i/>
          <w:iCs/>
          <w:color w:val="FF0000"/>
          <w:lang w:val="en-NZ"/>
        </w:rPr>
        <w:t xml:space="preserve">section should </w:t>
      </w:r>
      <w:r w:rsidR="004F0E5A">
        <w:rPr>
          <w:i/>
          <w:iCs/>
          <w:color w:val="FF0000"/>
          <w:lang w:val="en-NZ"/>
        </w:rPr>
        <w:t xml:space="preserve">state how </w:t>
      </w:r>
      <w:r w:rsidR="00FE650F">
        <w:rPr>
          <w:i/>
          <w:iCs/>
          <w:color w:val="FF0000"/>
          <w:lang w:val="en-NZ"/>
        </w:rPr>
        <w:t xml:space="preserve">and when </w:t>
      </w:r>
      <w:r w:rsidR="004F0E5A">
        <w:rPr>
          <w:i/>
          <w:iCs/>
          <w:color w:val="FF0000"/>
          <w:lang w:val="en-NZ"/>
        </w:rPr>
        <w:t xml:space="preserve">the </w:t>
      </w:r>
      <w:r w:rsidR="00FE650F">
        <w:rPr>
          <w:i/>
          <w:iCs/>
          <w:color w:val="FF0000"/>
          <w:lang w:val="en-NZ"/>
        </w:rPr>
        <w:t xml:space="preserve">organisation </w:t>
      </w:r>
      <w:r w:rsidR="00940DA0">
        <w:rPr>
          <w:i/>
          <w:iCs/>
          <w:color w:val="FF0000"/>
          <w:lang w:val="en-NZ"/>
        </w:rPr>
        <w:t>decides what to declassify, e.g. as a result of an annual review or other mechanism</w:t>
      </w:r>
    </w:p>
    <w:p w14:paraId="28E18D10" w14:textId="19BC9C71" w:rsidR="00DD3181" w:rsidRPr="00DD3181" w:rsidRDefault="00DD3181" w:rsidP="00DD3181">
      <w:pPr>
        <w:pStyle w:val="Heading2"/>
        <w:rPr>
          <w:lang w:val="en-NZ"/>
        </w:rPr>
      </w:pPr>
      <w:r>
        <w:rPr>
          <w:lang w:val="en-NZ"/>
        </w:rPr>
        <w:t>Auditing and monitoring</w:t>
      </w:r>
    </w:p>
    <w:p w14:paraId="5F6022ED" w14:textId="547107B0" w:rsidR="00A20043" w:rsidRPr="004831EA" w:rsidRDefault="00940DA0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4831EA">
        <w:rPr>
          <w:i/>
          <w:iCs/>
          <w:color w:val="FF0000"/>
          <w:lang w:val="en-NZ"/>
        </w:rPr>
        <w:t xml:space="preserve">For PSR mandated agencies, </w:t>
      </w:r>
      <w:r w:rsidR="001C4478" w:rsidRPr="004831EA">
        <w:rPr>
          <w:i/>
          <w:iCs/>
          <w:color w:val="FF0000"/>
          <w:lang w:val="en-NZ"/>
        </w:rPr>
        <w:t xml:space="preserve">requirements around declassification have been incorporated into the </w:t>
      </w:r>
      <w:r w:rsidRPr="004831EA">
        <w:rPr>
          <w:i/>
          <w:iCs/>
          <w:color w:val="FF0000"/>
          <w:lang w:val="en-NZ"/>
        </w:rPr>
        <w:t xml:space="preserve"> </w:t>
      </w:r>
      <w:r w:rsidR="004831EA" w:rsidRPr="004831EA">
        <w:rPr>
          <w:i/>
          <w:iCs/>
          <w:color w:val="FF0000"/>
          <w:lang w:val="en-NZ"/>
        </w:rPr>
        <w:t>Capability Maturity Model.</w:t>
      </w:r>
      <w:r w:rsidR="004831EA">
        <w:rPr>
          <w:i/>
          <w:iCs/>
          <w:color w:val="FF0000"/>
          <w:lang w:val="en-NZ"/>
        </w:rPr>
        <w:t xml:space="preserve">  The policy </w:t>
      </w:r>
      <w:r w:rsidR="009172C1">
        <w:rPr>
          <w:i/>
          <w:iCs/>
          <w:color w:val="FF0000"/>
          <w:lang w:val="en-NZ"/>
        </w:rPr>
        <w:t>should reference these where applicable.</w:t>
      </w:r>
    </w:p>
    <w:p w14:paraId="4960779A" w14:textId="485FCDBD" w:rsidR="004831EA" w:rsidRPr="00D814A8" w:rsidRDefault="00D85C22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D814A8">
        <w:rPr>
          <w:i/>
          <w:iCs/>
          <w:color w:val="FF0000"/>
          <w:lang w:val="en-NZ"/>
        </w:rPr>
        <w:t xml:space="preserve">The &lt;&lt;ORGANISATION&gt;&gt; will report on </w:t>
      </w:r>
      <w:r w:rsidR="00D814A8" w:rsidRPr="00D814A8">
        <w:rPr>
          <w:i/>
          <w:iCs/>
          <w:color w:val="FF0000"/>
          <w:lang w:val="en-NZ"/>
        </w:rPr>
        <w:t>its declassification programme through its Annual Report.</w:t>
      </w:r>
    </w:p>
    <w:p w14:paraId="694702E6" w14:textId="7CA84B5D" w:rsidR="00EE4DA6" w:rsidRPr="008533F8" w:rsidRDefault="00BD45A6" w:rsidP="0085182A">
      <w:pPr>
        <w:pStyle w:val="Heading2"/>
        <w:rPr>
          <w:lang w:val="en-NZ"/>
        </w:rPr>
      </w:pPr>
      <w:r w:rsidRPr="008533F8">
        <w:rPr>
          <w:lang w:val="en-NZ"/>
        </w:rPr>
        <w:t>R</w:t>
      </w:r>
      <w:r w:rsidR="00ED077F" w:rsidRPr="008533F8">
        <w:rPr>
          <w:lang w:val="en-NZ"/>
        </w:rPr>
        <w:t>elated policy/ guidance</w:t>
      </w:r>
    </w:p>
    <w:p w14:paraId="3B7C1CEA" w14:textId="62C15A87" w:rsidR="00AB4EE2" w:rsidRPr="008533F8" w:rsidRDefault="009479BD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8533F8">
        <w:rPr>
          <w:lang w:val="en-NZ"/>
        </w:rPr>
        <w:t>Related policy and guidance documents include:</w:t>
      </w:r>
    </w:p>
    <w:p w14:paraId="4FFC2BCC" w14:textId="036A8B80" w:rsidR="009479BD" w:rsidRPr="008533F8" w:rsidRDefault="009479BD" w:rsidP="000B69DE">
      <w:pPr>
        <w:pStyle w:val="ListParagraph"/>
        <w:numPr>
          <w:ilvl w:val="1"/>
          <w:numId w:val="9"/>
        </w:numPr>
        <w:rPr>
          <w:i/>
          <w:iCs/>
          <w:color w:val="FF0000"/>
          <w:lang w:val="en-NZ"/>
        </w:rPr>
      </w:pPr>
      <w:r w:rsidRPr="008533F8">
        <w:rPr>
          <w:lang w:val="en-NZ"/>
        </w:rPr>
        <w:t>Government Information Security Classification System Policy</w:t>
      </w:r>
    </w:p>
    <w:p w14:paraId="504DF950" w14:textId="315D4AD7" w:rsidR="009479BD" w:rsidRPr="008533F8" w:rsidRDefault="00B74056" w:rsidP="000B69DE">
      <w:pPr>
        <w:pStyle w:val="ListParagraph"/>
        <w:numPr>
          <w:ilvl w:val="1"/>
          <w:numId w:val="9"/>
        </w:numPr>
        <w:rPr>
          <w:i/>
          <w:iCs/>
          <w:color w:val="FF0000"/>
          <w:lang w:val="en-NZ"/>
        </w:rPr>
      </w:pPr>
      <w:r w:rsidRPr="008533F8">
        <w:rPr>
          <w:lang w:val="en-NZ"/>
        </w:rPr>
        <w:t xml:space="preserve">PSR </w:t>
      </w:r>
      <w:r w:rsidR="009479BD" w:rsidRPr="008533F8">
        <w:rPr>
          <w:lang w:val="en-NZ"/>
        </w:rPr>
        <w:t xml:space="preserve">Declassification Guidance document and </w:t>
      </w:r>
      <w:r w:rsidRPr="008533F8">
        <w:rPr>
          <w:lang w:val="en-NZ"/>
        </w:rPr>
        <w:t>Website content</w:t>
      </w:r>
    </w:p>
    <w:p w14:paraId="490FA0F0" w14:textId="02BA2DCF" w:rsidR="00BD45A6" w:rsidRPr="00B140FD" w:rsidRDefault="00BD45A6" w:rsidP="009277EB">
      <w:pPr>
        <w:pStyle w:val="ListParagraph"/>
        <w:numPr>
          <w:ilvl w:val="0"/>
          <w:numId w:val="1"/>
        </w:numPr>
        <w:rPr>
          <w:i/>
          <w:iCs/>
          <w:color w:val="FF0000"/>
          <w:lang w:val="en-NZ"/>
        </w:rPr>
      </w:pPr>
      <w:r w:rsidRPr="00B140FD">
        <w:rPr>
          <w:i/>
          <w:iCs/>
          <w:color w:val="FF0000"/>
          <w:lang w:val="en-NZ"/>
        </w:rPr>
        <w:t xml:space="preserve">This paragraph should reference any related </w:t>
      </w:r>
      <w:r w:rsidR="00DA4090" w:rsidRPr="00B140FD">
        <w:rPr>
          <w:i/>
          <w:iCs/>
          <w:color w:val="FF0000"/>
          <w:lang w:val="en-NZ"/>
        </w:rPr>
        <w:t xml:space="preserve">organisational policy and guidance, i.e. those that </w:t>
      </w:r>
      <w:r w:rsidR="00B16AC7" w:rsidRPr="00B140FD">
        <w:rPr>
          <w:i/>
          <w:iCs/>
          <w:color w:val="FF0000"/>
          <w:lang w:val="en-NZ"/>
        </w:rPr>
        <w:t xml:space="preserve">individuals </w:t>
      </w:r>
      <w:r w:rsidR="00C74455" w:rsidRPr="00B140FD">
        <w:rPr>
          <w:i/>
          <w:iCs/>
          <w:color w:val="FF0000"/>
          <w:lang w:val="en-NZ"/>
        </w:rPr>
        <w:t xml:space="preserve">involved in declassification need to </w:t>
      </w:r>
      <w:r w:rsidR="00F431D3" w:rsidRPr="00B140FD">
        <w:rPr>
          <w:i/>
          <w:iCs/>
          <w:color w:val="FF0000"/>
          <w:lang w:val="en-NZ"/>
        </w:rPr>
        <w:t>be specifically aware of.</w:t>
      </w:r>
    </w:p>
    <w:p w14:paraId="0035276B" w14:textId="3C7CF807" w:rsidR="00ED077F" w:rsidRPr="00B140FD" w:rsidRDefault="00BD45A6" w:rsidP="0085182A">
      <w:pPr>
        <w:pStyle w:val="Heading2"/>
        <w:rPr>
          <w:lang w:val="en-NZ"/>
        </w:rPr>
      </w:pPr>
      <w:r w:rsidRPr="00B140FD">
        <w:rPr>
          <w:lang w:val="en-NZ"/>
        </w:rPr>
        <w:t>A</w:t>
      </w:r>
      <w:r w:rsidR="00ED077F" w:rsidRPr="00B140FD">
        <w:rPr>
          <w:lang w:val="en-NZ"/>
        </w:rPr>
        <w:t>pprovals</w:t>
      </w:r>
    </w:p>
    <w:p w14:paraId="57747C61" w14:textId="723FCBD4" w:rsidR="00F431D3" w:rsidRPr="00B140FD" w:rsidRDefault="00F431D3" w:rsidP="009277EB">
      <w:pPr>
        <w:pStyle w:val="ListParagraph"/>
        <w:numPr>
          <w:ilvl w:val="0"/>
          <w:numId w:val="1"/>
        </w:numPr>
        <w:rPr>
          <w:lang w:val="en-NZ"/>
        </w:rPr>
      </w:pPr>
      <w:r w:rsidRPr="00B140FD">
        <w:rPr>
          <w:i/>
          <w:iCs/>
          <w:color w:val="FF0000"/>
          <w:lang w:val="en-NZ"/>
        </w:rPr>
        <w:t>This section should include a dated signature bloc</w:t>
      </w:r>
      <w:r w:rsidR="006A37FE" w:rsidRPr="00B140FD">
        <w:rPr>
          <w:i/>
          <w:iCs/>
          <w:color w:val="FF0000"/>
          <w:lang w:val="en-NZ"/>
        </w:rPr>
        <w:t xml:space="preserve">k confirming approval </w:t>
      </w:r>
      <w:r w:rsidR="007E651C" w:rsidRPr="00B140FD">
        <w:rPr>
          <w:i/>
          <w:iCs/>
          <w:color w:val="FF0000"/>
          <w:lang w:val="en-NZ"/>
        </w:rPr>
        <w:t>and ownership of the policy</w:t>
      </w:r>
      <w:r w:rsidR="0006002D" w:rsidRPr="00B140FD">
        <w:rPr>
          <w:i/>
          <w:iCs/>
          <w:color w:val="FF0000"/>
          <w:lang w:val="en-NZ"/>
        </w:rPr>
        <w:t>, similar to the table below.</w:t>
      </w:r>
    </w:p>
    <w:tbl>
      <w:tblPr>
        <w:tblStyle w:val="TableGrid"/>
        <w:tblW w:w="0" w:type="auto"/>
        <w:tblInd w:w="704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2835"/>
        <w:gridCol w:w="5811"/>
      </w:tblGrid>
      <w:tr w:rsidR="0006002D" w:rsidRPr="00B140FD" w14:paraId="672DE3BA" w14:textId="77777777" w:rsidTr="213B1FB7">
        <w:tc>
          <w:tcPr>
            <w:tcW w:w="2835" w:type="dxa"/>
            <w:shd w:val="clear" w:color="auto" w:fill="E2EFD9" w:themeFill="accent6" w:themeFillTint="33"/>
          </w:tcPr>
          <w:p w14:paraId="23EDC368" w14:textId="28119602" w:rsidR="0006002D" w:rsidRPr="00B140FD" w:rsidRDefault="0006002D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Approved by:</w:t>
            </w:r>
          </w:p>
        </w:tc>
        <w:tc>
          <w:tcPr>
            <w:tcW w:w="5811" w:type="dxa"/>
          </w:tcPr>
          <w:p w14:paraId="71A391F1" w14:textId="77777777" w:rsidR="0006002D" w:rsidRPr="00B140FD" w:rsidRDefault="00B26D51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Chief Executive</w:t>
            </w:r>
          </w:p>
          <w:p w14:paraId="6C6DD209" w14:textId="77777777" w:rsidR="00CA2172" w:rsidRPr="00B140FD" w:rsidRDefault="00CA2172" w:rsidP="0006002D">
            <w:pPr>
              <w:rPr>
                <w:lang w:val="en-NZ"/>
              </w:rPr>
            </w:pPr>
          </w:p>
          <w:p w14:paraId="73F1D4BC" w14:textId="77777777" w:rsidR="00CA2172" w:rsidRPr="00B140FD" w:rsidRDefault="00CA2172" w:rsidP="0006002D">
            <w:pPr>
              <w:rPr>
                <w:lang w:val="en-NZ"/>
              </w:rPr>
            </w:pPr>
          </w:p>
          <w:p w14:paraId="51D5A948" w14:textId="77777777" w:rsidR="00CA2172" w:rsidRPr="00B140FD" w:rsidRDefault="00CA2172" w:rsidP="0006002D">
            <w:pPr>
              <w:rPr>
                <w:lang w:val="en-NZ"/>
              </w:rPr>
            </w:pPr>
          </w:p>
          <w:p w14:paraId="0AFD8AC0" w14:textId="5D63907F" w:rsidR="00CA2172" w:rsidRPr="00B140FD" w:rsidRDefault="00AF4F36" w:rsidP="0006002D">
            <w:pPr>
              <w:rPr>
                <w:i/>
                <w:iCs/>
                <w:u w:val="single"/>
                <w:lang w:val="en-NZ"/>
              </w:rPr>
            </w:pPr>
            <w:r w:rsidRPr="00B140FD">
              <w:rPr>
                <w:i/>
                <w:iCs/>
                <w:u w:val="single"/>
                <w:lang w:val="en-NZ"/>
              </w:rPr>
              <w:t>Signature</w:t>
            </w:r>
          </w:p>
          <w:p w14:paraId="736E3D2D" w14:textId="0CCC0C38" w:rsidR="00CA2172" w:rsidRPr="00B140FD" w:rsidRDefault="00CA2172" w:rsidP="0006002D">
            <w:pPr>
              <w:rPr>
                <w:lang w:val="en-NZ"/>
              </w:rPr>
            </w:pPr>
          </w:p>
        </w:tc>
      </w:tr>
      <w:tr w:rsidR="0006002D" w:rsidRPr="00B140FD" w14:paraId="03FBEF04" w14:textId="77777777" w:rsidTr="213B1FB7">
        <w:tc>
          <w:tcPr>
            <w:tcW w:w="2835" w:type="dxa"/>
            <w:shd w:val="clear" w:color="auto" w:fill="E2EFD9" w:themeFill="accent6" w:themeFillTint="33"/>
          </w:tcPr>
          <w:p w14:paraId="6686447D" w14:textId="67F99144" w:rsidR="0006002D" w:rsidRPr="00B140FD" w:rsidRDefault="00AF4F36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Approval Date</w:t>
            </w:r>
            <w:r w:rsidR="00562D2F" w:rsidRPr="00B140FD">
              <w:rPr>
                <w:lang w:val="en-NZ"/>
              </w:rPr>
              <w:t>:</w:t>
            </w:r>
          </w:p>
        </w:tc>
        <w:tc>
          <w:tcPr>
            <w:tcW w:w="5811" w:type="dxa"/>
          </w:tcPr>
          <w:p w14:paraId="47FE5B28" w14:textId="77777777" w:rsidR="0006002D" w:rsidRPr="00B140FD" w:rsidRDefault="0006002D" w:rsidP="0006002D">
            <w:pPr>
              <w:rPr>
                <w:lang w:val="en-NZ"/>
              </w:rPr>
            </w:pPr>
          </w:p>
        </w:tc>
      </w:tr>
      <w:tr w:rsidR="0006002D" w:rsidRPr="00B140FD" w14:paraId="2E8FED37" w14:textId="77777777" w:rsidTr="213B1FB7">
        <w:tc>
          <w:tcPr>
            <w:tcW w:w="2835" w:type="dxa"/>
            <w:shd w:val="clear" w:color="auto" w:fill="E2EFD9" w:themeFill="accent6" w:themeFillTint="33"/>
          </w:tcPr>
          <w:p w14:paraId="730D2BFD" w14:textId="6C46BBD0" w:rsidR="0006002D" w:rsidRPr="00B140FD" w:rsidRDefault="00AF4F36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Policy Owner</w:t>
            </w:r>
            <w:r w:rsidR="00562D2F" w:rsidRPr="00B140FD">
              <w:rPr>
                <w:lang w:val="en-NZ"/>
              </w:rPr>
              <w:t>:</w:t>
            </w:r>
          </w:p>
        </w:tc>
        <w:tc>
          <w:tcPr>
            <w:tcW w:w="5811" w:type="dxa"/>
          </w:tcPr>
          <w:p w14:paraId="5B5D8A4F" w14:textId="1BD8B96D" w:rsidR="0006002D" w:rsidRPr="00B140FD" w:rsidRDefault="0006002D" w:rsidP="0006002D">
            <w:pPr>
              <w:rPr>
                <w:lang w:val="en-NZ"/>
              </w:rPr>
            </w:pPr>
          </w:p>
        </w:tc>
      </w:tr>
      <w:tr w:rsidR="00015E34" w:rsidRPr="00B140FD" w14:paraId="479FA53F" w14:textId="77777777" w:rsidTr="213B1FB7">
        <w:tc>
          <w:tcPr>
            <w:tcW w:w="2835" w:type="dxa"/>
            <w:shd w:val="clear" w:color="auto" w:fill="E2EFD9" w:themeFill="accent6" w:themeFillTint="33"/>
          </w:tcPr>
          <w:p w14:paraId="08EE2170" w14:textId="709FF9CB" w:rsidR="00015E34" w:rsidRPr="00B140FD" w:rsidRDefault="00472268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Contact Details</w:t>
            </w:r>
            <w:r w:rsidR="00562D2F" w:rsidRPr="00B140FD">
              <w:rPr>
                <w:lang w:val="en-NZ"/>
              </w:rPr>
              <w:t>:</w:t>
            </w:r>
          </w:p>
        </w:tc>
        <w:tc>
          <w:tcPr>
            <w:tcW w:w="5811" w:type="dxa"/>
          </w:tcPr>
          <w:p w14:paraId="3285872D" w14:textId="77777777" w:rsidR="00015E34" w:rsidRPr="00B140FD" w:rsidRDefault="00015E34" w:rsidP="0006002D">
            <w:pPr>
              <w:rPr>
                <w:lang w:val="en-NZ"/>
              </w:rPr>
            </w:pPr>
          </w:p>
        </w:tc>
      </w:tr>
      <w:tr w:rsidR="0006002D" w:rsidRPr="00B140FD" w14:paraId="3155B07B" w14:textId="77777777" w:rsidTr="213B1FB7">
        <w:tc>
          <w:tcPr>
            <w:tcW w:w="2835" w:type="dxa"/>
            <w:shd w:val="clear" w:color="auto" w:fill="E2EFD9" w:themeFill="accent6" w:themeFillTint="33"/>
          </w:tcPr>
          <w:p w14:paraId="628C1BC3" w14:textId="443EDBDA" w:rsidR="0006002D" w:rsidRPr="00B140FD" w:rsidRDefault="00015E34" w:rsidP="0006002D">
            <w:pPr>
              <w:rPr>
                <w:lang w:val="en-NZ"/>
              </w:rPr>
            </w:pPr>
            <w:r w:rsidRPr="00B140FD">
              <w:rPr>
                <w:lang w:val="en-NZ"/>
              </w:rPr>
              <w:t>Review Date</w:t>
            </w:r>
            <w:r w:rsidR="00562D2F" w:rsidRPr="00B140FD">
              <w:rPr>
                <w:lang w:val="en-NZ"/>
              </w:rPr>
              <w:t>:</w:t>
            </w:r>
          </w:p>
        </w:tc>
        <w:tc>
          <w:tcPr>
            <w:tcW w:w="5811" w:type="dxa"/>
          </w:tcPr>
          <w:p w14:paraId="3411FE4D" w14:textId="77777777" w:rsidR="0006002D" w:rsidRPr="00B140FD" w:rsidRDefault="0006002D" w:rsidP="0006002D">
            <w:pPr>
              <w:rPr>
                <w:lang w:val="en-NZ"/>
              </w:rPr>
            </w:pPr>
          </w:p>
        </w:tc>
      </w:tr>
    </w:tbl>
    <w:p w14:paraId="2FD4E4ED" w14:textId="5203EEB1" w:rsidR="213B1FB7" w:rsidRDefault="213B1FB7">
      <w:r>
        <w:br w:type="page"/>
      </w:r>
    </w:p>
    <w:p w14:paraId="35DCF0AB" w14:textId="19211B03" w:rsidR="213B1FB7" w:rsidRDefault="213B1FB7" w:rsidP="213B1FB7">
      <w:pPr>
        <w:rPr>
          <w:lang w:val="en-NZ"/>
        </w:rPr>
      </w:pPr>
    </w:p>
    <w:sectPr w:rsidR="213B1F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3D69C" w14:textId="77777777" w:rsidR="00D22AB6" w:rsidRDefault="00D22AB6" w:rsidP="00D40E8D">
      <w:pPr>
        <w:spacing w:after="0" w:line="240" w:lineRule="auto"/>
      </w:pPr>
      <w:r>
        <w:separator/>
      </w:r>
    </w:p>
  </w:endnote>
  <w:endnote w:type="continuationSeparator" w:id="0">
    <w:p w14:paraId="23A9C84E" w14:textId="77777777" w:rsidR="00D22AB6" w:rsidRDefault="00D22AB6" w:rsidP="00D40E8D">
      <w:pPr>
        <w:spacing w:after="0" w:line="240" w:lineRule="auto"/>
      </w:pPr>
      <w:r>
        <w:continuationSeparator/>
      </w:r>
    </w:p>
  </w:endnote>
  <w:endnote w:type="continuationNotice" w:id="1">
    <w:p w14:paraId="26A98E74" w14:textId="77777777" w:rsidR="00D22AB6" w:rsidRDefault="00D22A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4D1D0" w14:textId="6CC802AE" w:rsidR="00D40E8D" w:rsidRDefault="00D40E8D" w:rsidP="00935D7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5D08BC" w14:textId="77777777" w:rsidR="00D40E8D" w:rsidRDefault="00D40E8D" w:rsidP="00D40E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2333593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67CEC0" w14:textId="4A8BD331" w:rsidR="00D40E8D" w:rsidRDefault="00D40E8D" w:rsidP="00935D7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52813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C02D30F" w14:textId="7F06351C" w:rsidR="00D40E8D" w:rsidRPr="006E271D" w:rsidRDefault="009B0A12" w:rsidP="006E271D">
    <w:pPr>
      <w:pStyle w:val="Header"/>
      <w:jc w:val="center"/>
      <w:rPr>
        <w:b/>
        <w:bCs/>
        <w:lang w:val="en-NZ"/>
      </w:rPr>
    </w:pPr>
    <w:r w:rsidRPr="006E019C">
      <w:rPr>
        <w:b/>
        <w:bCs/>
        <w:lang w:val="en-NZ"/>
      </w:rPr>
      <w:t>UNCLASSIFIED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C0E1F" w14:textId="77777777" w:rsidR="00841F31" w:rsidRDefault="00841F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61BA9" w14:textId="77777777" w:rsidR="00D22AB6" w:rsidRDefault="00D22AB6" w:rsidP="00D40E8D">
      <w:pPr>
        <w:spacing w:after="0" w:line="240" w:lineRule="auto"/>
      </w:pPr>
      <w:r>
        <w:separator/>
      </w:r>
    </w:p>
  </w:footnote>
  <w:footnote w:type="continuationSeparator" w:id="0">
    <w:p w14:paraId="20D36096" w14:textId="77777777" w:rsidR="00D22AB6" w:rsidRDefault="00D22AB6" w:rsidP="00D40E8D">
      <w:pPr>
        <w:spacing w:after="0" w:line="240" w:lineRule="auto"/>
      </w:pPr>
      <w:r>
        <w:continuationSeparator/>
      </w:r>
    </w:p>
  </w:footnote>
  <w:footnote w:type="continuationNotice" w:id="1">
    <w:p w14:paraId="2834FE73" w14:textId="77777777" w:rsidR="00D22AB6" w:rsidRDefault="00D22A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A753D" w14:textId="77777777" w:rsidR="00841F31" w:rsidRDefault="00841F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A4952" w14:textId="289F7CCE" w:rsidR="009B0A12" w:rsidRPr="006E271D" w:rsidRDefault="009B0A12" w:rsidP="006E271D">
    <w:pPr>
      <w:pStyle w:val="Header"/>
      <w:jc w:val="center"/>
      <w:rPr>
        <w:b/>
        <w:bCs/>
        <w:lang w:val="en-NZ"/>
      </w:rPr>
    </w:pPr>
    <w:r w:rsidRPr="006E271D">
      <w:rPr>
        <w:b/>
        <w:bCs/>
        <w:lang w:val="en-NZ"/>
      </w:rPr>
      <w:t>UNCLASSIFIED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265AC" w14:textId="77777777" w:rsidR="00841F31" w:rsidRDefault="00841F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B53A5"/>
    <w:multiLevelType w:val="hybridMultilevel"/>
    <w:tmpl w:val="6E4A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208CD"/>
    <w:multiLevelType w:val="hybridMultilevel"/>
    <w:tmpl w:val="90EAC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971224"/>
    <w:multiLevelType w:val="hybridMultilevel"/>
    <w:tmpl w:val="2DB4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A20D1"/>
    <w:multiLevelType w:val="hybridMultilevel"/>
    <w:tmpl w:val="1B9EF1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30DC1"/>
    <w:multiLevelType w:val="hybridMultilevel"/>
    <w:tmpl w:val="FEEC51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9144F"/>
    <w:multiLevelType w:val="hybridMultilevel"/>
    <w:tmpl w:val="BFD03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9C7F9E"/>
    <w:multiLevelType w:val="hybridMultilevel"/>
    <w:tmpl w:val="6E4A8C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B45476"/>
    <w:multiLevelType w:val="hybridMultilevel"/>
    <w:tmpl w:val="958EE416"/>
    <w:lvl w:ilvl="0" w:tplc="7CEE4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082C6BE">
      <w:start w:val="1"/>
      <w:numFmt w:val="lowerLetter"/>
      <w:lvlText w:val="%2."/>
      <w:lvlJc w:val="left"/>
      <w:pPr>
        <w:ind w:left="1440" w:hanging="360"/>
      </w:pPr>
      <w:rPr>
        <w:i w:val="0"/>
        <w:iCs w:val="0"/>
        <w:color w:val="000000" w:themeColor="text1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27544"/>
    <w:multiLevelType w:val="hybridMultilevel"/>
    <w:tmpl w:val="ECAAB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87F520"/>
    <w:rsid w:val="00003F7A"/>
    <w:rsid w:val="00005B17"/>
    <w:rsid w:val="00006967"/>
    <w:rsid w:val="0001410C"/>
    <w:rsid w:val="00015E34"/>
    <w:rsid w:val="000338FF"/>
    <w:rsid w:val="000456C3"/>
    <w:rsid w:val="00053C88"/>
    <w:rsid w:val="0006002D"/>
    <w:rsid w:val="00061C4C"/>
    <w:rsid w:val="000664DB"/>
    <w:rsid w:val="00067365"/>
    <w:rsid w:val="00075DDB"/>
    <w:rsid w:val="000761D7"/>
    <w:rsid w:val="00087B9B"/>
    <w:rsid w:val="000A7A4A"/>
    <w:rsid w:val="000B4545"/>
    <w:rsid w:val="000B69DE"/>
    <w:rsid w:val="000C05D7"/>
    <w:rsid w:val="000C3CD8"/>
    <w:rsid w:val="000D0F9D"/>
    <w:rsid w:val="000E1238"/>
    <w:rsid w:val="000F0DB3"/>
    <w:rsid w:val="000F0F04"/>
    <w:rsid w:val="000F2432"/>
    <w:rsid w:val="0010573D"/>
    <w:rsid w:val="00113846"/>
    <w:rsid w:val="00117B7D"/>
    <w:rsid w:val="0013323E"/>
    <w:rsid w:val="0013325C"/>
    <w:rsid w:val="0014096F"/>
    <w:rsid w:val="001426D6"/>
    <w:rsid w:val="0014463D"/>
    <w:rsid w:val="00167C5B"/>
    <w:rsid w:val="00175726"/>
    <w:rsid w:val="001818A2"/>
    <w:rsid w:val="00185BFC"/>
    <w:rsid w:val="00190087"/>
    <w:rsid w:val="00190A01"/>
    <w:rsid w:val="00197A8F"/>
    <w:rsid w:val="001A35C3"/>
    <w:rsid w:val="001B2138"/>
    <w:rsid w:val="001C4478"/>
    <w:rsid w:val="001C6940"/>
    <w:rsid w:val="001E06E9"/>
    <w:rsid w:val="001E39CD"/>
    <w:rsid w:val="001F1F8C"/>
    <w:rsid w:val="002064AC"/>
    <w:rsid w:val="002174A6"/>
    <w:rsid w:val="00230B9D"/>
    <w:rsid w:val="002403EF"/>
    <w:rsid w:val="0024355C"/>
    <w:rsid w:val="002455D7"/>
    <w:rsid w:val="00257C40"/>
    <w:rsid w:val="002711CF"/>
    <w:rsid w:val="00273A00"/>
    <w:rsid w:val="002935CC"/>
    <w:rsid w:val="002A6527"/>
    <w:rsid w:val="002C3FCB"/>
    <w:rsid w:val="002D1F3C"/>
    <w:rsid w:val="002D596A"/>
    <w:rsid w:val="002E0F97"/>
    <w:rsid w:val="002E507C"/>
    <w:rsid w:val="002E6245"/>
    <w:rsid w:val="002F1645"/>
    <w:rsid w:val="002F5122"/>
    <w:rsid w:val="00304064"/>
    <w:rsid w:val="003077CC"/>
    <w:rsid w:val="00315B7E"/>
    <w:rsid w:val="00331526"/>
    <w:rsid w:val="00333469"/>
    <w:rsid w:val="00344E91"/>
    <w:rsid w:val="003452DC"/>
    <w:rsid w:val="003468CC"/>
    <w:rsid w:val="00355D7B"/>
    <w:rsid w:val="00357C5B"/>
    <w:rsid w:val="00360FC4"/>
    <w:rsid w:val="00364AD0"/>
    <w:rsid w:val="003729C3"/>
    <w:rsid w:val="00377E87"/>
    <w:rsid w:val="003A2A53"/>
    <w:rsid w:val="003A2FF9"/>
    <w:rsid w:val="003B43A1"/>
    <w:rsid w:val="003C3C62"/>
    <w:rsid w:val="003D6E2E"/>
    <w:rsid w:val="003E5353"/>
    <w:rsid w:val="003F7701"/>
    <w:rsid w:val="003F7A86"/>
    <w:rsid w:val="00404581"/>
    <w:rsid w:val="00405494"/>
    <w:rsid w:val="0041042E"/>
    <w:rsid w:val="00430844"/>
    <w:rsid w:val="004346F6"/>
    <w:rsid w:val="004462B0"/>
    <w:rsid w:val="00466E96"/>
    <w:rsid w:val="00472268"/>
    <w:rsid w:val="004831EA"/>
    <w:rsid w:val="00483BCA"/>
    <w:rsid w:val="0049584F"/>
    <w:rsid w:val="004A2C36"/>
    <w:rsid w:val="004A4F87"/>
    <w:rsid w:val="004A7BA9"/>
    <w:rsid w:val="004B27C5"/>
    <w:rsid w:val="004C12A8"/>
    <w:rsid w:val="004C70BC"/>
    <w:rsid w:val="004D349B"/>
    <w:rsid w:val="004E3181"/>
    <w:rsid w:val="004E67A5"/>
    <w:rsid w:val="004E70A7"/>
    <w:rsid w:val="004F0E5A"/>
    <w:rsid w:val="004F528A"/>
    <w:rsid w:val="004F6140"/>
    <w:rsid w:val="005055D4"/>
    <w:rsid w:val="00510860"/>
    <w:rsid w:val="00515C1A"/>
    <w:rsid w:val="00517190"/>
    <w:rsid w:val="00524EA1"/>
    <w:rsid w:val="00553404"/>
    <w:rsid w:val="00562D2F"/>
    <w:rsid w:val="00566B9A"/>
    <w:rsid w:val="00571BC8"/>
    <w:rsid w:val="005733A2"/>
    <w:rsid w:val="005751E6"/>
    <w:rsid w:val="005802FB"/>
    <w:rsid w:val="0058284A"/>
    <w:rsid w:val="0058587F"/>
    <w:rsid w:val="00593B72"/>
    <w:rsid w:val="00593C52"/>
    <w:rsid w:val="005966BD"/>
    <w:rsid w:val="005A0E6F"/>
    <w:rsid w:val="005A4DCA"/>
    <w:rsid w:val="005B29C0"/>
    <w:rsid w:val="005C40DE"/>
    <w:rsid w:val="005D4742"/>
    <w:rsid w:val="005F0F0B"/>
    <w:rsid w:val="006001A2"/>
    <w:rsid w:val="0061517C"/>
    <w:rsid w:val="0061540A"/>
    <w:rsid w:val="0061661C"/>
    <w:rsid w:val="00620AB1"/>
    <w:rsid w:val="0062481E"/>
    <w:rsid w:val="00626B14"/>
    <w:rsid w:val="0064798B"/>
    <w:rsid w:val="00652813"/>
    <w:rsid w:val="00661BC7"/>
    <w:rsid w:val="0067159E"/>
    <w:rsid w:val="006771A8"/>
    <w:rsid w:val="00681276"/>
    <w:rsid w:val="0068298D"/>
    <w:rsid w:val="006A37FE"/>
    <w:rsid w:val="006A7CB8"/>
    <w:rsid w:val="006A7CE3"/>
    <w:rsid w:val="006B2C16"/>
    <w:rsid w:val="006B7849"/>
    <w:rsid w:val="006C298A"/>
    <w:rsid w:val="006D24A6"/>
    <w:rsid w:val="006D4B87"/>
    <w:rsid w:val="006E271D"/>
    <w:rsid w:val="006E768E"/>
    <w:rsid w:val="006F1D30"/>
    <w:rsid w:val="006F591F"/>
    <w:rsid w:val="006F71E2"/>
    <w:rsid w:val="00700A3A"/>
    <w:rsid w:val="0070358F"/>
    <w:rsid w:val="007058A3"/>
    <w:rsid w:val="00707153"/>
    <w:rsid w:val="00713D52"/>
    <w:rsid w:val="00720C5E"/>
    <w:rsid w:val="00726423"/>
    <w:rsid w:val="0072698F"/>
    <w:rsid w:val="00726D56"/>
    <w:rsid w:val="007320B6"/>
    <w:rsid w:val="00733EEA"/>
    <w:rsid w:val="00736DCC"/>
    <w:rsid w:val="00736ED8"/>
    <w:rsid w:val="00741630"/>
    <w:rsid w:val="007534FB"/>
    <w:rsid w:val="00755B40"/>
    <w:rsid w:val="00770CBC"/>
    <w:rsid w:val="00785C57"/>
    <w:rsid w:val="007A1D81"/>
    <w:rsid w:val="007A3A10"/>
    <w:rsid w:val="007A50ED"/>
    <w:rsid w:val="007A5B8F"/>
    <w:rsid w:val="007B12A5"/>
    <w:rsid w:val="007B5DA5"/>
    <w:rsid w:val="007B6452"/>
    <w:rsid w:val="007C1B7B"/>
    <w:rsid w:val="007C7BBE"/>
    <w:rsid w:val="007D5861"/>
    <w:rsid w:val="007D7E2F"/>
    <w:rsid w:val="007E1167"/>
    <w:rsid w:val="007E3231"/>
    <w:rsid w:val="007E5841"/>
    <w:rsid w:val="007E651C"/>
    <w:rsid w:val="007F0193"/>
    <w:rsid w:val="007F09C9"/>
    <w:rsid w:val="007F3756"/>
    <w:rsid w:val="007F4D3A"/>
    <w:rsid w:val="0081558F"/>
    <w:rsid w:val="00815970"/>
    <w:rsid w:val="00820A2C"/>
    <w:rsid w:val="0082491C"/>
    <w:rsid w:val="00831C90"/>
    <w:rsid w:val="00832A28"/>
    <w:rsid w:val="00835BF0"/>
    <w:rsid w:val="008379CA"/>
    <w:rsid w:val="00841F31"/>
    <w:rsid w:val="0084322D"/>
    <w:rsid w:val="0085166A"/>
    <w:rsid w:val="0085182A"/>
    <w:rsid w:val="008533F8"/>
    <w:rsid w:val="00857F66"/>
    <w:rsid w:val="0087120E"/>
    <w:rsid w:val="008831C9"/>
    <w:rsid w:val="008A7508"/>
    <w:rsid w:val="008B0381"/>
    <w:rsid w:val="008B3A53"/>
    <w:rsid w:val="008C1BB5"/>
    <w:rsid w:val="008C5CFA"/>
    <w:rsid w:val="008E4266"/>
    <w:rsid w:val="008E4341"/>
    <w:rsid w:val="008F1593"/>
    <w:rsid w:val="00900B43"/>
    <w:rsid w:val="009016F3"/>
    <w:rsid w:val="00910700"/>
    <w:rsid w:val="00912AFF"/>
    <w:rsid w:val="00916436"/>
    <w:rsid w:val="009172C1"/>
    <w:rsid w:val="00917C41"/>
    <w:rsid w:val="009277EB"/>
    <w:rsid w:val="00933007"/>
    <w:rsid w:val="0093423F"/>
    <w:rsid w:val="00935D7B"/>
    <w:rsid w:val="00936FD3"/>
    <w:rsid w:val="00940DA0"/>
    <w:rsid w:val="009479BD"/>
    <w:rsid w:val="00954553"/>
    <w:rsid w:val="00956B6F"/>
    <w:rsid w:val="00982A5A"/>
    <w:rsid w:val="00985EC2"/>
    <w:rsid w:val="009B08BD"/>
    <w:rsid w:val="009B0A12"/>
    <w:rsid w:val="009B5D23"/>
    <w:rsid w:val="009D5098"/>
    <w:rsid w:val="009D70F8"/>
    <w:rsid w:val="009E3EB5"/>
    <w:rsid w:val="00A04B92"/>
    <w:rsid w:val="00A054E8"/>
    <w:rsid w:val="00A12B3E"/>
    <w:rsid w:val="00A20043"/>
    <w:rsid w:val="00A2315C"/>
    <w:rsid w:val="00A24796"/>
    <w:rsid w:val="00A265F1"/>
    <w:rsid w:val="00A31371"/>
    <w:rsid w:val="00A33743"/>
    <w:rsid w:val="00A602EA"/>
    <w:rsid w:val="00A71D75"/>
    <w:rsid w:val="00A83266"/>
    <w:rsid w:val="00A91903"/>
    <w:rsid w:val="00A94CB1"/>
    <w:rsid w:val="00A96E31"/>
    <w:rsid w:val="00AA5FC5"/>
    <w:rsid w:val="00AB42EB"/>
    <w:rsid w:val="00AB4EE2"/>
    <w:rsid w:val="00AB79FA"/>
    <w:rsid w:val="00AC04BE"/>
    <w:rsid w:val="00AC6E8B"/>
    <w:rsid w:val="00AD10A5"/>
    <w:rsid w:val="00AD4096"/>
    <w:rsid w:val="00AE44D1"/>
    <w:rsid w:val="00AE771A"/>
    <w:rsid w:val="00AF0F9B"/>
    <w:rsid w:val="00AF2CC1"/>
    <w:rsid w:val="00AF4F36"/>
    <w:rsid w:val="00AF7956"/>
    <w:rsid w:val="00B10B25"/>
    <w:rsid w:val="00B11FAE"/>
    <w:rsid w:val="00B140FD"/>
    <w:rsid w:val="00B16AC7"/>
    <w:rsid w:val="00B26D51"/>
    <w:rsid w:val="00B279D3"/>
    <w:rsid w:val="00B30A7F"/>
    <w:rsid w:val="00B4214B"/>
    <w:rsid w:val="00B42B9D"/>
    <w:rsid w:val="00B45960"/>
    <w:rsid w:val="00B5554C"/>
    <w:rsid w:val="00B565CE"/>
    <w:rsid w:val="00B74056"/>
    <w:rsid w:val="00B81668"/>
    <w:rsid w:val="00BB0252"/>
    <w:rsid w:val="00BB733C"/>
    <w:rsid w:val="00BD1950"/>
    <w:rsid w:val="00BD1EC7"/>
    <w:rsid w:val="00BD45A6"/>
    <w:rsid w:val="00BD7911"/>
    <w:rsid w:val="00BE533E"/>
    <w:rsid w:val="00BF012D"/>
    <w:rsid w:val="00BF0C67"/>
    <w:rsid w:val="00BF1830"/>
    <w:rsid w:val="00BF3315"/>
    <w:rsid w:val="00C06AA0"/>
    <w:rsid w:val="00C077BE"/>
    <w:rsid w:val="00C322FA"/>
    <w:rsid w:val="00C41410"/>
    <w:rsid w:val="00C426FC"/>
    <w:rsid w:val="00C507CD"/>
    <w:rsid w:val="00C50C14"/>
    <w:rsid w:val="00C52F98"/>
    <w:rsid w:val="00C576F1"/>
    <w:rsid w:val="00C630FD"/>
    <w:rsid w:val="00C63AE0"/>
    <w:rsid w:val="00C7145F"/>
    <w:rsid w:val="00C74455"/>
    <w:rsid w:val="00C77A55"/>
    <w:rsid w:val="00C85E42"/>
    <w:rsid w:val="00CA0134"/>
    <w:rsid w:val="00CA0C21"/>
    <w:rsid w:val="00CA2172"/>
    <w:rsid w:val="00CA280C"/>
    <w:rsid w:val="00CB6368"/>
    <w:rsid w:val="00CB6835"/>
    <w:rsid w:val="00CD5310"/>
    <w:rsid w:val="00CD59A6"/>
    <w:rsid w:val="00CE26A2"/>
    <w:rsid w:val="00CE66BF"/>
    <w:rsid w:val="00CE6E48"/>
    <w:rsid w:val="00CE7023"/>
    <w:rsid w:val="00CF5566"/>
    <w:rsid w:val="00CF5BB2"/>
    <w:rsid w:val="00CF7734"/>
    <w:rsid w:val="00D02943"/>
    <w:rsid w:val="00D04A11"/>
    <w:rsid w:val="00D119D8"/>
    <w:rsid w:val="00D13D51"/>
    <w:rsid w:val="00D155EF"/>
    <w:rsid w:val="00D22AB6"/>
    <w:rsid w:val="00D242EE"/>
    <w:rsid w:val="00D27417"/>
    <w:rsid w:val="00D336C9"/>
    <w:rsid w:val="00D368E5"/>
    <w:rsid w:val="00D40E8D"/>
    <w:rsid w:val="00D42F3D"/>
    <w:rsid w:val="00D50BB3"/>
    <w:rsid w:val="00D5539D"/>
    <w:rsid w:val="00D5749E"/>
    <w:rsid w:val="00D60C2F"/>
    <w:rsid w:val="00D61017"/>
    <w:rsid w:val="00D75494"/>
    <w:rsid w:val="00D77D18"/>
    <w:rsid w:val="00D814A8"/>
    <w:rsid w:val="00D85C22"/>
    <w:rsid w:val="00DA256C"/>
    <w:rsid w:val="00DA378B"/>
    <w:rsid w:val="00DA4090"/>
    <w:rsid w:val="00DB0BE4"/>
    <w:rsid w:val="00DB4A0C"/>
    <w:rsid w:val="00DB68F1"/>
    <w:rsid w:val="00DB712F"/>
    <w:rsid w:val="00DB755B"/>
    <w:rsid w:val="00DC3204"/>
    <w:rsid w:val="00DC6F1B"/>
    <w:rsid w:val="00DD3181"/>
    <w:rsid w:val="00DD5F06"/>
    <w:rsid w:val="00DE2908"/>
    <w:rsid w:val="00DF45A9"/>
    <w:rsid w:val="00DF5770"/>
    <w:rsid w:val="00DF6828"/>
    <w:rsid w:val="00E04705"/>
    <w:rsid w:val="00E131CB"/>
    <w:rsid w:val="00E2521D"/>
    <w:rsid w:val="00E27DC7"/>
    <w:rsid w:val="00E328E7"/>
    <w:rsid w:val="00E34AB9"/>
    <w:rsid w:val="00E40FD9"/>
    <w:rsid w:val="00E432AA"/>
    <w:rsid w:val="00E4417E"/>
    <w:rsid w:val="00E57346"/>
    <w:rsid w:val="00E7381B"/>
    <w:rsid w:val="00E740C6"/>
    <w:rsid w:val="00E806CA"/>
    <w:rsid w:val="00E832F0"/>
    <w:rsid w:val="00E83480"/>
    <w:rsid w:val="00E93561"/>
    <w:rsid w:val="00E9683B"/>
    <w:rsid w:val="00EB1DE5"/>
    <w:rsid w:val="00EC0742"/>
    <w:rsid w:val="00EC544A"/>
    <w:rsid w:val="00ED077F"/>
    <w:rsid w:val="00ED1496"/>
    <w:rsid w:val="00ED1B1B"/>
    <w:rsid w:val="00ED6441"/>
    <w:rsid w:val="00ED734E"/>
    <w:rsid w:val="00EE4DA6"/>
    <w:rsid w:val="00EF0023"/>
    <w:rsid w:val="00EF7208"/>
    <w:rsid w:val="00F05DA1"/>
    <w:rsid w:val="00F06D53"/>
    <w:rsid w:val="00F07810"/>
    <w:rsid w:val="00F169AC"/>
    <w:rsid w:val="00F17F2A"/>
    <w:rsid w:val="00F36556"/>
    <w:rsid w:val="00F40325"/>
    <w:rsid w:val="00F42444"/>
    <w:rsid w:val="00F431D3"/>
    <w:rsid w:val="00F56207"/>
    <w:rsid w:val="00F56EE3"/>
    <w:rsid w:val="00F62222"/>
    <w:rsid w:val="00F7773A"/>
    <w:rsid w:val="00F81062"/>
    <w:rsid w:val="00F82B5C"/>
    <w:rsid w:val="00F86E7F"/>
    <w:rsid w:val="00F954C7"/>
    <w:rsid w:val="00FA0F5D"/>
    <w:rsid w:val="00FA218B"/>
    <w:rsid w:val="00FA52D3"/>
    <w:rsid w:val="00FA5A34"/>
    <w:rsid w:val="00FA6A47"/>
    <w:rsid w:val="00FB0DD3"/>
    <w:rsid w:val="00FC64FB"/>
    <w:rsid w:val="00FC6D93"/>
    <w:rsid w:val="00FE650F"/>
    <w:rsid w:val="15032C87"/>
    <w:rsid w:val="16E0B580"/>
    <w:rsid w:val="210DB105"/>
    <w:rsid w:val="213B1FB7"/>
    <w:rsid w:val="22A98166"/>
    <w:rsid w:val="24E88651"/>
    <w:rsid w:val="2852058E"/>
    <w:rsid w:val="2E76403A"/>
    <w:rsid w:val="352C71E6"/>
    <w:rsid w:val="3663A97E"/>
    <w:rsid w:val="3756A44A"/>
    <w:rsid w:val="37B80102"/>
    <w:rsid w:val="3D3AFE15"/>
    <w:rsid w:val="3D962809"/>
    <w:rsid w:val="4087F520"/>
    <w:rsid w:val="48E06EE0"/>
    <w:rsid w:val="4BA73DD5"/>
    <w:rsid w:val="580431B1"/>
    <w:rsid w:val="5E0C29BD"/>
    <w:rsid w:val="66AE3586"/>
    <w:rsid w:val="6753F901"/>
    <w:rsid w:val="6BF1A9B1"/>
    <w:rsid w:val="6D7A4019"/>
    <w:rsid w:val="6E8EB579"/>
    <w:rsid w:val="6F3DB353"/>
    <w:rsid w:val="75B252A7"/>
    <w:rsid w:val="77F8C02C"/>
    <w:rsid w:val="7F9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7F5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2C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8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color w:val="70AD47" w:themeColor="accent6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B1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182A"/>
    <w:rPr>
      <w:rFonts w:asciiTheme="majorHAnsi" w:eastAsiaTheme="majorEastAsia" w:hAnsiTheme="majorHAnsi" w:cstheme="majorBidi"/>
      <w:b/>
      <w:bCs/>
      <w:color w:val="70AD47" w:themeColor="accent6"/>
      <w:sz w:val="26"/>
      <w:szCs w:val="26"/>
    </w:rPr>
  </w:style>
  <w:style w:type="paragraph" w:styleId="ListParagraph">
    <w:name w:val="List Paragraph"/>
    <w:basedOn w:val="Normal"/>
    <w:uiPriority w:val="34"/>
    <w:qFormat/>
    <w:rsid w:val="007320B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B2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B2C16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6B2C16"/>
    <w:pPr>
      <w:spacing w:before="120" w:after="0"/>
      <w:ind w:left="220"/>
    </w:pPr>
    <w:rPr>
      <w:rFonts w:cstheme="minorHAnsi"/>
      <w:b/>
      <w:bCs/>
    </w:rPr>
  </w:style>
  <w:style w:type="character" w:styleId="Hyperlink">
    <w:name w:val="Hyperlink"/>
    <w:basedOn w:val="DefaultParagraphFont"/>
    <w:uiPriority w:val="99"/>
    <w:unhideWhenUsed/>
    <w:rsid w:val="006B2C1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B2C16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B2C16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B2C16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B2C16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B2C16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B2C16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B2C16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B2C16"/>
    <w:pPr>
      <w:spacing w:after="0"/>
      <w:ind w:left="1760"/>
    </w:pPr>
    <w:rPr>
      <w:rFonts w:cstheme="minorHAnsi"/>
      <w:sz w:val="20"/>
      <w:szCs w:val="20"/>
    </w:rPr>
  </w:style>
  <w:style w:type="table" w:styleId="TableGrid">
    <w:name w:val="Table Grid"/>
    <w:basedOn w:val="TableNormal"/>
    <w:uiPriority w:val="39"/>
    <w:rsid w:val="00E93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005B17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">
    <w:name w:val="text"/>
    <w:basedOn w:val="Normal"/>
    <w:rsid w:val="0000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zh-CN"/>
    </w:rPr>
  </w:style>
  <w:style w:type="character" w:customStyle="1" w:styleId="label">
    <w:name w:val="label"/>
    <w:basedOn w:val="DefaultParagraphFont"/>
    <w:rsid w:val="00005B17"/>
  </w:style>
  <w:style w:type="paragraph" w:styleId="Footer">
    <w:name w:val="footer"/>
    <w:basedOn w:val="Normal"/>
    <w:link w:val="FooterChar"/>
    <w:uiPriority w:val="99"/>
    <w:unhideWhenUsed/>
    <w:rsid w:val="00D40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E8D"/>
  </w:style>
  <w:style w:type="character" w:styleId="PageNumber">
    <w:name w:val="page number"/>
    <w:basedOn w:val="DefaultParagraphFont"/>
    <w:uiPriority w:val="99"/>
    <w:semiHidden/>
    <w:unhideWhenUsed/>
    <w:rsid w:val="00D40E8D"/>
  </w:style>
  <w:style w:type="paragraph" w:styleId="Header">
    <w:name w:val="header"/>
    <w:basedOn w:val="Normal"/>
    <w:link w:val="HeaderChar"/>
    <w:uiPriority w:val="99"/>
    <w:unhideWhenUsed/>
    <w:rsid w:val="00E04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705"/>
  </w:style>
  <w:style w:type="table" w:styleId="GridTable4-Accent6">
    <w:name w:val="Grid Table 4 Accent 6"/>
    <w:basedOn w:val="TableNormal"/>
    <w:uiPriority w:val="49"/>
    <w:rsid w:val="006E768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vision">
    <w:name w:val="Revision"/>
    <w:hidden/>
    <w:uiPriority w:val="99"/>
    <w:semiHidden/>
    <w:rsid w:val="0040549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"/>
    <w:rsid w:val="0033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zh-CN"/>
    </w:rPr>
  </w:style>
  <w:style w:type="character" w:customStyle="1" w:styleId="normaltextrun">
    <w:name w:val="normaltextrun"/>
    <w:basedOn w:val="DefaultParagraphFont"/>
    <w:rsid w:val="00333469"/>
  </w:style>
  <w:style w:type="character" w:customStyle="1" w:styleId="eop">
    <w:name w:val="eop"/>
    <w:basedOn w:val="DefaultParagraphFont"/>
    <w:rsid w:val="00333469"/>
  </w:style>
  <w:style w:type="paragraph" w:styleId="BalloonText">
    <w:name w:val="Balloon Text"/>
    <w:basedOn w:val="Normal"/>
    <w:link w:val="BalloonTextChar"/>
    <w:uiPriority w:val="99"/>
    <w:semiHidden/>
    <w:unhideWhenUsed/>
    <w:rsid w:val="00FC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D9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D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5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9591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2168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99010">
              <w:marLeft w:val="0"/>
              <w:marRight w:val="0"/>
              <w:marTop w:val="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5340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263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52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5929">
          <w:marLeft w:val="0"/>
          <w:marRight w:val="0"/>
          <w:marTop w:val="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1367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2022-12-06T23:01:00Z</dcterms:created>
  <dcterms:modified xsi:type="dcterms:W3CDTF">2022-12-06T23:01:00Z</dcterms:modified>
</cp:coreProperties>
</file>